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附件1：</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jc w:val="center"/>
      </w:pPr>
      <w:r>
        <w:drawing>
          <wp:inline distT="0" distB="0" distL="0" distR="0">
            <wp:extent cx="863600" cy="744220"/>
            <wp:effectExtent l="0" t="0" r="12700" b="1778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
                    <a:stretch>
                      <a:fillRect/>
                    </a:stretch>
                  </pic:blipFill>
                  <pic:spPr>
                    <a:xfrm>
                      <a:off x="0" y="0"/>
                      <a:ext cx="863600" cy="744220"/>
                    </a:xfrm>
                    <a:prstGeom prst="rect">
                      <a:avLst/>
                    </a:prstGeom>
                  </pic:spPr>
                </pic:pic>
              </a:graphicData>
            </a:graphic>
          </wp:inline>
        </w:drawing>
      </w:r>
    </w:p>
    <w:p>
      <w:pPr>
        <w:ind w:left="-1260" w:leftChars="-600" w:firstLine="1260" w:firstLineChars="600"/>
        <w:jc w:val="center"/>
      </w:pPr>
    </w:p>
    <w:p>
      <w:pPr>
        <w:spacing w:before="26" w:line="237" w:lineRule="auto"/>
        <w:ind w:left="-1260" w:leftChars="-600" w:firstLine="1807" w:firstLineChars="600"/>
        <w:jc w:val="center"/>
        <w:rPr>
          <w:rFonts w:ascii="宋体" w:hAnsi="宋体" w:eastAsia="宋体" w:cs="宋体"/>
          <w:b/>
          <w:bCs/>
          <w:color w:val="C00000"/>
          <w:spacing w:val="10"/>
          <w:sz w:val="28"/>
          <w:szCs w:val="28"/>
        </w:rPr>
      </w:pPr>
    </w:p>
    <w:p>
      <w:pPr>
        <w:spacing w:before="26" w:line="237" w:lineRule="auto"/>
        <w:ind w:left="-1260" w:leftChars="-600" w:firstLine="1807" w:firstLineChars="600"/>
        <w:jc w:val="center"/>
        <w:rPr>
          <w:rFonts w:ascii="宋体" w:hAnsi="宋体" w:eastAsia="宋体" w:cs="宋体"/>
          <w:b/>
          <w:bCs/>
          <w:sz w:val="28"/>
          <w:szCs w:val="28"/>
        </w:rPr>
      </w:pPr>
      <w:r>
        <w:rPr>
          <w:rFonts w:ascii="宋体" w:hAnsi="宋体" w:eastAsia="宋体" w:cs="宋体"/>
          <w:b/>
          <w:bCs/>
          <w:color w:val="C00000"/>
          <w:spacing w:val="10"/>
          <w:sz w:val="28"/>
          <w:szCs w:val="28"/>
        </w:rPr>
        <w:t>恭喜您申办往来港澳人才签注</w:t>
      </w:r>
    </w:p>
    <w:p>
      <w:pPr>
        <w:spacing w:before="160" w:line="236" w:lineRule="auto"/>
        <w:ind w:left="-1260" w:leftChars="-600" w:firstLine="1795" w:firstLineChars="600"/>
        <w:jc w:val="center"/>
        <w:rPr>
          <w:rFonts w:ascii="宋体" w:hAnsi="宋体" w:eastAsia="宋体" w:cs="宋体"/>
          <w:b/>
          <w:bCs/>
          <w:sz w:val="28"/>
          <w:szCs w:val="28"/>
        </w:rPr>
      </w:pPr>
      <w:r>
        <w:rPr>
          <w:rFonts w:ascii="宋体" w:hAnsi="宋体" w:eastAsia="宋体" w:cs="宋体"/>
          <w:b/>
          <w:bCs/>
          <w:color w:val="C00000"/>
          <w:spacing w:val="9"/>
          <w:sz w:val="28"/>
          <w:szCs w:val="28"/>
        </w:rPr>
        <w:t>以下提示告知内容重要</w:t>
      </w:r>
    </w:p>
    <w:p>
      <w:pPr>
        <w:spacing w:before="162" w:line="239" w:lineRule="auto"/>
        <w:ind w:left="-1260" w:leftChars="-600" w:firstLine="1771" w:firstLineChars="600"/>
        <w:jc w:val="center"/>
        <w:rPr>
          <w:rFonts w:ascii="宋体" w:hAnsi="宋体" w:eastAsia="宋体" w:cs="宋体"/>
          <w:b/>
          <w:bCs/>
          <w:sz w:val="28"/>
          <w:szCs w:val="28"/>
        </w:rPr>
      </w:pPr>
      <w:r>
        <w:rPr>
          <w:rFonts w:ascii="宋体" w:hAnsi="宋体" w:eastAsia="宋体" w:cs="宋体"/>
          <w:b/>
          <w:bCs/>
          <w:color w:val="C00000"/>
          <w:spacing w:val="7"/>
          <w:sz w:val="28"/>
          <w:szCs w:val="28"/>
        </w:rPr>
        <w:t>请您知悉!</w:t>
      </w:r>
    </w:p>
    <w:p>
      <w:pPr>
        <w:spacing w:line="242" w:lineRule="auto"/>
        <w:rPr>
          <w:rFonts w:ascii="Arial"/>
          <w:sz w:val="21"/>
        </w:rPr>
      </w:pPr>
    </w:p>
    <w:p>
      <w:pPr>
        <w:spacing w:line="242" w:lineRule="auto"/>
        <w:rPr>
          <w:rFonts w:ascii="Arial"/>
          <w:sz w:val="21"/>
        </w:rPr>
      </w:pPr>
    </w:p>
    <w:p>
      <w:pPr>
        <w:spacing w:line="243" w:lineRule="auto"/>
        <w:rPr>
          <w:rFonts w:ascii="Arial"/>
          <w:sz w:val="44"/>
          <w:szCs w:val="52"/>
        </w:rPr>
      </w:pP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公安机关出入境管理机构依法批准您的往来港澳人才签注申请，您可以在签注有效期内多次往来香港或者澳门地区，每次在香港或者澳门停留不超过30天。</w:t>
      </w:r>
      <w:bookmarkStart w:id="0" w:name="_GoBack"/>
      <w:bookmarkEnd w:id="0"/>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人才签注持有人往来港澳及在港澳停留期间，应当自觉遵守有关法律规定，合法出入境和停居留。</w:t>
      </w:r>
    </w:p>
    <w:p>
      <w:pPr>
        <w:spacing w:line="315" w:lineRule="auto"/>
        <w:rPr>
          <w:rFonts w:ascii="Arial"/>
          <w:sz w:val="21"/>
        </w:rPr>
      </w:pPr>
    </w:p>
    <w:p>
      <w:pPr>
        <w:spacing w:line="315" w:lineRule="auto"/>
        <w:rPr>
          <w:rFonts w:ascii="Arial"/>
          <w:sz w:val="21"/>
        </w:rPr>
      </w:pPr>
    </w:p>
    <w:p>
      <w:pPr>
        <w:spacing w:line="315" w:lineRule="auto"/>
        <w:rPr>
          <w:rFonts w:ascii="Arial"/>
          <w:sz w:val="21"/>
        </w:rPr>
      </w:pPr>
    </w:p>
    <w:p>
      <w:pPr>
        <w:numPr>
          <w:ilvl w:val="0"/>
          <w:numId w:val="0"/>
        </w:numPr>
        <w:ind w:firstLine="562" w:firstLineChars="200"/>
        <w:jc w:val="center"/>
        <w:rPr>
          <w:rFonts w:hint="eastAsia" w:ascii="宋体" w:hAnsi="宋体" w:eastAsia="宋体" w:cs="宋体"/>
          <w:b/>
          <w:bCs/>
          <w:sz w:val="28"/>
          <w:szCs w:val="28"/>
          <w:lang w:val="en-US" w:eastAsia="zh-CN"/>
        </w:rPr>
      </w:pPr>
    </w:p>
    <w:p>
      <w:pPr>
        <w:numPr>
          <w:ilvl w:val="0"/>
          <w:numId w:val="0"/>
        </w:numPr>
        <w:ind w:firstLine="562" w:firstLineChars="200"/>
        <w:jc w:val="center"/>
        <w:rPr>
          <w:rFonts w:hint="eastAsia" w:ascii="宋体" w:hAnsi="宋体" w:eastAsia="宋体" w:cs="宋体"/>
          <w:b/>
          <w:bCs/>
          <w:sz w:val="28"/>
          <w:szCs w:val="28"/>
          <w:lang w:val="en-US" w:eastAsia="zh-CN"/>
        </w:rPr>
      </w:pPr>
    </w:p>
    <w:p>
      <w:pPr>
        <w:numPr>
          <w:ilvl w:val="0"/>
          <w:numId w:val="0"/>
        </w:numPr>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内地居民持用人才签注往来香港特区须知</w:t>
      </w:r>
    </w:p>
    <w:p>
      <w:pPr>
        <w:numPr>
          <w:ilvl w:val="0"/>
          <w:numId w:val="0"/>
        </w:numPr>
        <w:ind w:firstLine="640" w:firstLineChars="200"/>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(香港入境事务处)</w:t>
      </w:r>
    </w:p>
    <w:p>
      <w:pPr>
        <w:numPr>
          <w:ilvl w:val="0"/>
          <w:numId w:val="0"/>
        </w:numPr>
        <w:ind w:firstLine="562" w:firstLineChars="200"/>
        <w:jc w:val="center"/>
        <w:rPr>
          <w:rFonts w:hint="eastAsia" w:ascii="宋体" w:hAnsi="宋体" w:eastAsia="宋体" w:cs="宋体"/>
          <w:b/>
          <w:bCs/>
          <w:sz w:val="28"/>
          <w:szCs w:val="28"/>
          <w:lang w:val="en-US" w:eastAsia="zh-CN"/>
        </w:rPr>
      </w:pP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 、入境规定指引</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现行安排，访港内地居民必须持有有效的《往来港澳通行证》及相关赴港签注。一般而言，持有有效人才签注访港的内地居民，如能符合一般入境规定，会获准以访客身份入境香港，而每次在香港逗留一般不超过30天。根据香港法例《入境规例》(第115A章)第2(1)条的规定，给予某人以访客身份在香港入境的准许，须受下述逗留条件规限：</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该人不得接受有薪或无薪的雇佣工作；</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该人不得开办或参与任何业务；及</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该人不得就读于学校、大学或其他教育机构。</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香港法例《入境条例》(第115章)第41条，任何人违反对他有效的逗留条件，即属犯罪，经定罪后，最高可判罚款港币五万元及监禁两年。根据《入境条例》第38AA条，任何逾期逗留人士接受有薪或无薪的雇佣工作，即属犯罪，经定罪后，最高可判罚款港币五万元及监禁三年。</w:t>
      </w: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numPr>
          <w:ilvl w:val="0"/>
          <w:numId w:val="0"/>
        </w:num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 访客获准参与的活动</w:t>
      </w:r>
    </w:p>
    <w:tbl>
      <w:tblPr>
        <w:tblStyle w:val="81"/>
        <w:tblpPr w:leftFromText="180" w:rightFromText="180" w:vertAnchor="text" w:horzAnchor="page" w:tblpX="1864" w:tblpY="10"/>
        <w:tblOverlap w:val="never"/>
        <w:tblW w:w="8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19"/>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rPr>
        <w:tc>
          <w:tcPr>
            <w:tcW w:w="6319" w:type="dxa"/>
            <w:tcBorders>
              <w:top w:val="single" w:color="auto" w:sz="4" w:space="0"/>
              <w:left w:val="single" w:color="auto" w:sz="4" w:space="0"/>
              <w:bottom w:val="single" w:color="auto" w:sz="4" w:space="0"/>
              <w:right w:val="single" w:color="auto" w:sz="4" w:space="0"/>
            </w:tcBorders>
            <w:shd w:val="clear" w:color="auto" w:fill="BDD5ED"/>
            <w:vAlign w:val="top"/>
          </w:tcPr>
          <w:p>
            <w:pPr>
              <w:shd w:val="clear" w:fill="BDD5ED"/>
              <w:spacing w:before="65" w:line="241" w:lineRule="auto"/>
              <w:ind w:left="40"/>
              <w:rPr>
                <w:rFonts w:ascii="仿宋" w:hAnsi="仿宋" w:eastAsia="仿宋" w:cs="仿宋"/>
                <w:spacing w:val="3"/>
                <w:sz w:val="28"/>
                <w:szCs w:val="28"/>
              </w:rPr>
            </w:pPr>
            <w:r>
              <w:rPr>
                <w:rFonts w:ascii="仿宋" w:hAnsi="仿宋" w:eastAsia="仿宋" w:cs="仿宋"/>
                <w:spacing w:val="3"/>
                <w:sz w:val="28"/>
                <w:szCs w:val="28"/>
              </w:rPr>
              <w:t>甲、一般访客</w:t>
            </w:r>
          </w:p>
        </w:tc>
        <w:tc>
          <w:tcPr>
            <w:tcW w:w="2130" w:type="dxa"/>
            <w:tcBorders>
              <w:top w:val="single" w:color="auto" w:sz="4" w:space="0"/>
              <w:left w:val="single" w:color="auto" w:sz="4" w:space="0"/>
              <w:bottom w:val="single" w:color="auto" w:sz="4" w:space="0"/>
              <w:right w:val="single" w:color="auto" w:sz="4" w:space="0"/>
            </w:tcBorders>
            <w:shd w:val="clear" w:color="auto" w:fill="BDD5ED"/>
            <w:vAlign w:val="top"/>
          </w:tcPr>
          <w:p>
            <w:pPr>
              <w:shd w:val="clear" w:fill="BDD5ED"/>
              <w:spacing w:before="65" w:line="241" w:lineRule="auto"/>
              <w:ind w:left="40"/>
              <w:jc w:val="center"/>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7" w:hRule="atLeast"/>
        </w:trPr>
        <w:tc>
          <w:tcPr>
            <w:tcW w:w="6319" w:type="dxa"/>
            <w:tcBorders>
              <w:top w:val="single" w:color="auto" w:sz="4" w:space="0"/>
              <w:left w:val="single" w:color="auto" w:sz="4" w:space="0"/>
              <w:bottom w:val="single" w:color="auto" w:sz="4" w:space="0"/>
              <w:right w:val="single" w:color="auto" w:sz="4" w:space="0"/>
            </w:tcBorders>
            <w:vAlign w:val="top"/>
          </w:tcPr>
          <w:p>
            <w:pPr>
              <w:spacing w:line="241" w:lineRule="auto"/>
              <w:rPr>
                <w:rFonts w:ascii="仿宋" w:hAnsi="仿宋" w:eastAsia="仿宋" w:cs="仿宋"/>
                <w:spacing w:val="9"/>
                <w:sz w:val="24"/>
                <w:szCs w:val="24"/>
              </w:rPr>
            </w:pPr>
            <w:r>
              <w:rPr>
                <w:rFonts w:ascii="仿宋" w:hAnsi="仿宋" w:eastAsia="仿宋" w:cs="仿宋"/>
                <w:spacing w:val="9"/>
                <w:sz w:val="24"/>
                <w:szCs w:val="24"/>
              </w:rPr>
              <w:t>(一)商务活动</w:t>
            </w:r>
          </w:p>
          <w:p>
            <w:pPr>
              <w:spacing w:before="14" w:line="237" w:lineRule="auto"/>
              <w:ind w:left="4"/>
              <w:rPr>
                <w:rFonts w:ascii="仿宋" w:hAnsi="仿宋" w:eastAsia="仿宋" w:cs="仿宋"/>
                <w:sz w:val="24"/>
                <w:szCs w:val="24"/>
              </w:rPr>
            </w:pPr>
            <w:r>
              <w:rPr>
                <w:rFonts w:ascii="仿宋" w:hAnsi="仿宋" w:eastAsia="仿宋" w:cs="仿宋"/>
                <w:spacing w:val="9"/>
                <w:sz w:val="24"/>
                <w:szCs w:val="24"/>
              </w:rPr>
              <w:t>获准以访客身份来港的人士，可进行以下商务活动：</w:t>
            </w:r>
          </w:p>
          <w:p>
            <w:pPr>
              <w:spacing w:before="11" w:line="241" w:lineRule="auto"/>
              <w:ind w:left="4"/>
              <w:rPr>
                <w:rFonts w:ascii="仿宋" w:hAnsi="仿宋" w:eastAsia="仿宋" w:cs="仿宋"/>
                <w:sz w:val="24"/>
                <w:szCs w:val="24"/>
              </w:rPr>
            </w:pPr>
            <w:r>
              <w:rPr>
                <w:rFonts w:ascii="仿宋" w:hAnsi="仿宋" w:eastAsia="仿宋" w:cs="仿宋"/>
                <w:spacing w:val="8"/>
                <w:sz w:val="24"/>
                <w:szCs w:val="24"/>
              </w:rPr>
              <w:t>签订合约或参加招标、投标；</w:t>
            </w:r>
          </w:p>
          <w:p>
            <w:pPr>
              <w:spacing w:before="14" w:line="239" w:lineRule="auto"/>
              <w:ind w:left="4"/>
              <w:rPr>
                <w:rFonts w:ascii="仿宋" w:hAnsi="仿宋" w:eastAsia="仿宋" w:cs="仿宋"/>
                <w:sz w:val="24"/>
                <w:szCs w:val="24"/>
              </w:rPr>
            </w:pPr>
            <w:r>
              <w:rPr>
                <w:rFonts w:ascii="仿宋" w:hAnsi="仿宋" w:eastAsia="仿宋" w:cs="仿宋"/>
                <w:spacing w:val="13"/>
                <w:sz w:val="24"/>
                <w:szCs w:val="24"/>
              </w:rPr>
              <w:t>检验货物/设备或监督其装设/包装；</w:t>
            </w:r>
          </w:p>
          <w:p>
            <w:pPr>
              <w:spacing w:before="14" w:line="239" w:lineRule="auto"/>
              <w:ind w:left="4"/>
              <w:rPr>
                <w:rFonts w:ascii="仿宋" w:hAnsi="仿宋" w:eastAsia="仿宋" w:cs="仿宋"/>
                <w:sz w:val="24"/>
                <w:szCs w:val="24"/>
              </w:rPr>
            </w:pPr>
            <w:r>
              <w:rPr>
                <w:rFonts w:ascii="仿宋" w:hAnsi="仿宋" w:eastAsia="仿宋" w:cs="仿宋"/>
                <w:spacing w:val="12"/>
                <w:sz w:val="24"/>
                <w:szCs w:val="24"/>
              </w:rPr>
              <w:t>参加展览会、交易会(但并不包括向公众直接出售货物</w:t>
            </w:r>
          </w:p>
          <w:p>
            <w:pPr>
              <w:spacing w:before="12" w:line="241" w:lineRule="auto"/>
              <w:ind w:left="4"/>
              <w:rPr>
                <w:rFonts w:ascii="仿宋" w:hAnsi="仿宋" w:eastAsia="仿宋" w:cs="仿宋"/>
                <w:sz w:val="24"/>
                <w:szCs w:val="24"/>
              </w:rPr>
            </w:pPr>
            <w:r>
              <w:rPr>
                <w:rFonts w:ascii="仿宋" w:hAnsi="仿宋" w:eastAsia="仿宋" w:cs="仿宋"/>
                <w:spacing w:val="9"/>
                <w:sz w:val="24"/>
                <w:szCs w:val="24"/>
              </w:rPr>
              <w:t>或直接提供服务，或搭建展览摊位);</w:t>
            </w:r>
          </w:p>
          <w:p>
            <w:pPr>
              <w:spacing w:before="15" w:line="236" w:lineRule="auto"/>
              <w:ind w:left="4"/>
              <w:rPr>
                <w:rFonts w:ascii="仿宋" w:hAnsi="仿宋" w:eastAsia="仿宋" w:cs="仿宋"/>
                <w:sz w:val="24"/>
                <w:szCs w:val="24"/>
              </w:rPr>
            </w:pPr>
            <w:r>
              <w:rPr>
                <w:rFonts w:ascii="仿宋" w:hAnsi="仿宋" w:eastAsia="仿宋" w:cs="仿宋"/>
                <w:spacing w:val="9"/>
                <w:sz w:val="24"/>
                <w:szCs w:val="24"/>
              </w:rPr>
              <w:t>解决索赔问题或者进行民事诉讼活动；</w:t>
            </w:r>
          </w:p>
          <w:p>
            <w:pPr>
              <w:spacing w:before="12"/>
              <w:ind w:left="4"/>
              <w:rPr>
                <w:rFonts w:ascii="仿宋" w:hAnsi="仿宋" w:eastAsia="仿宋" w:cs="仿宋"/>
                <w:sz w:val="24"/>
                <w:szCs w:val="24"/>
              </w:rPr>
            </w:pPr>
            <w:r>
              <w:rPr>
                <w:rFonts w:ascii="仿宋" w:hAnsi="仿宋" w:eastAsia="仿宋" w:cs="仿宋"/>
                <w:spacing w:val="9"/>
                <w:sz w:val="24"/>
                <w:szCs w:val="24"/>
              </w:rPr>
              <w:t>应邀从事商务、科技考察活动；及</w:t>
            </w:r>
          </w:p>
          <w:p>
            <w:pPr>
              <w:spacing w:before="13" w:line="241" w:lineRule="auto"/>
              <w:ind w:left="4"/>
              <w:rPr>
                <w:rFonts w:ascii="仿宋" w:hAnsi="仿宋" w:eastAsia="仿宋" w:cs="仿宋"/>
                <w:sz w:val="20"/>
                <w:szCs w:val="20"/>
              </w:rPr>
            </w:pPr>
            <w:r>
              <w:rPr>
                <w:rFonts w:ascii="仿宋" w:hAnsi="仿宋" w:eastAsia="仿宋" w:cs="仿宋"/>
                <w:spacing w:val="8"/>
                <w:sz w:val="24"/>
                <w:szCs w:val="24"/>
              </w:rPr>
              <w:t>参与短期研讨会或其他会议。</w:t>
            </w:r>
          </w:p>
        </w:tc>
        <w:tc>
          <w:tcPr>
            <w:tcW w:w="2130" w:type="dxa"/>
            <w:vMerge w:val="restart"/>
            <w:tcBorders>
              <w:top w:val="single" w:color="auto" w:sz="4" w:space="0"/>
              <w:left w:val="single" w:color="auto" w:sz="4" w:space="0"/>
              <w:right w:val="single" w:color="auto" w:sz="4" w:space="0"/>
            </w:tcBorders>
            <w:vAlign w:val="top"/>
          </w:tcPr>
          <w:p>
            <w:pPr>
              <w:spacing w:line="241" w:lineRule="auto"/>
              <w:ind w:left="39"/>
              <w:rPr>
                <w:rFonts w:ascii="仿宋" w:hAnsi="仿宋" w:eastAsia="仿宋" w:cs="仿宋"/>
                <w:sz w:val="20"/>
                <w:szCs w:val="20"/>
              </w:rPr>
            </w:pPr>
            <w:r>
              <w:rPr>
                <w:rFonts w:ascii="仿宋" w:hAnsi="仿宋" w:eastAsia="仿宋" w:cs="仿宋"/>
                <w:spacing w:val="9"/>
                <w:sz w:val="24"/>
                <w:szCs w:val="24"/>
              </w:rPr>
              <w:t>不可收取报酬。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6" w:hRule="atLeast"/>
        </w:trPr>
        <w:tc>
          <w:tcPr>
            <w:tcW w:w="6319" w:type="dxa"/>
            <w:tcBorders>
              <w:top w:val="single" w:color="auto" w:sz="4" w:space="0"/>
              <w:left w:val="single" w:color="auto" w:sz="4" w:space="0"/>
              <w:bottom w:val="single" w:color="auto" w:sz="4" w:space="0"/>
              <w:right w:val="single" w:color="auto" w:sz="4" w:space="0"/>
            </w:tcBorders>
            <w:vAlign w:val="top"/>
          </w:tcPr>
          <w:p>
            <w:pPr>
              <w:spacing w:line="241" w:lineRule="auto"/>
              <w:rPr>
                <w:rFonts w:ascii="仿宋" w:hAnsi="仿宋" w:eastAsia="仿宋" w:cs="仿宋"/>
                <w:spacing w:val="9"/>
                <w:sz w:val="24"/>
                <w:szCs w:val="24"/>
              </w:rPr>
            </w:pPr>
            <w:r>
              <w:rPr>
                <w:rFonts w:ascii="仿宋" w:hAnsi="仿宋" w:eastAsia="仿宋" w:cs="仿宋"/>
                <w:spacing w:val="9"/>
                <w:sz w:val="24"/>
                <w:szCs w:val="24"/>
              </w:rPr>
              <w:t>(二)发表演讲/作出发布</w:t>
            </w:r>
          </w:p>
          <w:p>
            <w:pPr>
              <w:spacing w:line="241" w:lineRule="auto"/>
              <w:rPr>
                <w:rFonts w:ascii="仿宋" w:hAnsi="仿宋" w:eastAsia="仿宋" w:cs="仿宋"/>
                <w:spacing w:val="9"/>
                <w:sz w:val="24"/>
                <w:szCs w:val="24"/>
              </w:rPr>
            </w:pPr>
            <w:r>
              <w:rPr>
                <w:rFonts w:ascii="仿宋" w:hAnsi="仿宋" w:eastAsia="仿宋" w:cs="仿宋"/>
                <w:spacing w:val="9"/>
                <w:sz w:val="24"/>
                <w:szCs w:val="24"/>
              </w:rPr>
              <w:t>获准以访客身份来港的人士，可出席活动发表演讲/作</w:t>
            </w:r>
          </w:p>
          <w:p>
            <w:pPr>
              <w:spacing w:line="241" w:lineRule="auto"/>
              <w:rPr>
                <w:rFonts w:ascii="仿宋" w:hAnsi="仿宋" w:eastAsia="仿宋" w:cs="仿宋"/>
                <w:spacing w:val="9"/>
                <w:sz w:val="24"/>
                <w:szCs w:val="24"/>
              </w:rPr>
            </w:pPr>
            <w:r>
              <w:rPr>
                <w:rFonts w:ascii="仿宋" w:hAnsi="仿宋" w:eastAsia="仿宋" w:cs="仿宋"/>
                <w:spacing w:val="9"/>
                <w:sz w:val="24"/>
                <w:szCs w:val="24"/>
              </w:rPr>
              <w:t>出发布，惟须符合以下条件：</w:t>
            </w:r>
          </w:p>
          <w:p>
            <w:pPr>
              <w:spacing w:line="241" w:lineRule="auto"/>
              <w:rPr>
                <w:rFonts w:ascii="仿宋" w:hAnsi="仿宋" w:eastAsia="仿宋" w:cs="仿宋"/>
                <w:spacing w:val="9"/>
                <w:sz w:val="24"/>
                <w:szCs w:val="24"/>
              </w:rPr>
            </w:pPr>
            <w:r>
              <w:rPr>
                <w:rFonts w:ascii="仿宋" w:hAnsi="仿宋" w:eastAsia="仿宋" w:cs="仿宋"/>
                <w:spacing w:val="9"/>
                <w:sz w:val="24"/>
                <w:szCs w:val="24"/>
              </w:rPr>
              <w:t>该人并不会因在该活动中发表演讲/作出发布而获得</w:t>
            </w:r>
          </w:p>
          <w:p>
            <w:pPr>
              <w:spacing w:line="241" w:lineRule="auto"/>
              <w:rPr>
                <w:rFonts w:ascii="仿宋" w:hAnsi="仿宋" w:eastAsia="仿宋" w:cs="仿宋"/>
                <w:spacing w:val="9"/>
                <w:sz w:val="24"/>
                <w:szCs w:val="24"/>
              </w:rPr>
            </w:pPr>
            <w:r>
              <w:rPr>
                <w:rFonts w:ascii="仿宋" w:hAnsi="仿宋" w:eastAsia="仿宋" w:cs="仿宋"/>
                <w:spacing w:val="9"/>
                <w:sz w:val="24"/>
                <w:szCs w:val="24"/>
              </w:rPr>
              <w:t>报酬(见备注);及</w:t>
            </w:r>
          </w:p>
          <w:p>
            <w:pPr>
              <w:spacing w:line="241" w:lineRule="auto"/>
              <w:rPr>
                <w:rFonts w:ascii="仿宋" w:hAnsi="仿宋" w:eastAsia="仿宋" w:cs="仿宋"/>
                <w:spacing w:val="9"/>
                <w:sz w:val="24"/>
                <w:szCs w:val="24"/>
              </w:rPr>
            </w:pPr>
            <w:r>
              <w:rPr>
                <w:rFonts w:ascii="仿宋" w:hAnsi="仿宋" w:eastAsia="仿宋" w:cs="仿宋"/>
                <w:spacing w:val="9"/>
                <w:sz w:val="24"/>
                <w:szCs w:val="24"/>
              </w:rPr>
              <w:t>每次获准逗留期间，在为期不超过14个历日(由访客</w:t>
            </w:r>
          </w:p>
          <w:p>
            <w:pPr>
              <w:spacing w:line="241" w:lineRule="auto"/>
              <w:rPr>
                <w:rFonts w:ascii="仿宋" w:hAnsi="仿宋" w:eastAsia="仿宋" w:cs="仿宋"/>
                <w:spacing w:val="9"/>
                <w:sz w:val="24"/>
                <w:szCs w:val="24"/>
              </w:rPr>
            </w:pPr>
            <w:r>
              <w:rPr>
                <w:rFonts w:ascii="仿宋" w:hAnsi="仿宋" w:eastAsia="仿宋" w:cs="仿宋"/>
                <w:spacing w:val="9"/>
                <w:sz w:val="24"/>
                <w:szCs w:val="24"/>
              </w:rPr>
              <w:t>开始参与活动当日开始计算)的活动中发表演讲/作出</w:t>
            </w:r>
          </w:p>
          <w:p>
            <w:pPr>
              <w:spacing w:line="241" w:lineRule="auto"/>
              <w:rPr>
                <w:rFonts w:ascii="仿宋" w:hAnsi="仿宋" w:eastAsia="仿宋" w:cs="仿宋"/>
                <w:sz w:val="20"/>
                <w:szCs w:val="20"/>
              </w:rPr>
            </w:pPr>
            <w:r>
              <w:rPr>
                <w:rFonts w:ascii="仿宋" w:hAnsi="仿宋" w:eastAsia="仿宋" w:cs="仿宋"/>
                <w:spacing w:val="9"/>
                <w:sz w:val="24"/>
                <w:szCs w:val="24"/>
              </w:rPr>
              <w:t>发布，可参与活动数目不限。</w:t>
            </w:r>
          </w:p>
        </w:tc>
        <w:tc>
          <w:tcPr>
            <w:tcW w:w="2130" w:type="dxa"/>
            <w:tcBorders>
              <w:top w:val="single" w:color="auto" w:sz="4" w:space="0"/>
              <w:left w:val="single" w:color="auto" w:sz="4" w:space="0"/>
              <w:right w:val="single" w:color="auto" w:sz="4" w:space="0"/>
            </w:tcBorders>
            <w:vAlign w:val="top"/>
          </w:tcPr>
          <w:p>
            <w:pPr>
              <w:spacing w:line="241" w:lineRule="auto"/>
              <w:ind w:left="39"/>
              <w:rPr>
                <w:rFonts w:hint="eastAsia" w:ascii="仿宋" w:hAnsi="仿宋" w:eastAsia="仿宋" w:cs="仿宋"/>
                <w:spacing w:val="9"/>
                <w:sz w:val="24"/>
                <w:szCs w:val="24"/>
              </w:rPr>
            </w:pPr>
            <w:r>
              <w:rPr>
                <w:rFonts w:hint="eastAsia" w:ascii="仿宋" w:hAnsi="仿宋" w:eastAsia="仿宋" w:cs="仿宋"/>
                <w:spacing w:val="9"/>
                <w:sz w:val="24"/>
                <w:szCs w:val="24"/>
              </w:rPr>
              <w:t>不可收取报酬，除非：</w:t>
            </w:r>
          </w:p>
          <w:p>
            <w:pPr>
              <w:spacing w:line="241" w:lineRule="auto"/>
              <w:ind w:left="39"/>
              <w:rPr>
                <w:rFonts w:ascii="仿宋" w:hAnsi="仿宋" w:eastAsia="仿宋" w:cs="仿宋"/>
                <w:sz w:val="20"/>
                <w:szCs w:val="20"/>
              </w:rPr>
            </w:pPr>
            <w:r>
              <w:rPr>
                <w:rFonts w:hint="eastAsia" w:ascii="仿宋" w:hAnsi="仿宋" w:eastAsia="仿宋" w:cs="仿宋"/>
                <w:spacing w:val="9"/>
                <w:sz w:val="24"/>
                <w:szCs w:val="24"/>
              </w:rPr>
              <w:t>(1)因应有关活动而获提供住宿、交通、膳食等，或获 发还该类费用；或(2)根据以下(乙) 来港参与特定界别演讲活动。</w:t>
            </w:r>
          </w:p>
        </w:tc>
      </w:tr>
    </w:tbl>
    <w:p>
      <w:pPr>
        <w:jc w:val="center"/>
      </w:pPr>
    </w:p>
    <w:p>
      <w:pPr>
        <w:jc w:val="center"/>
        <w:rPr>
          <w:rFonts w:hint="default"/>
          <w:lang w:val="en-US" w:eastAsia="zh-CN"/>
        </w:rPr>
      </w:pPr>
    </w:p>
    <w:p>
      <w:pPr>
        <w:rPr>
          <w:rFonts w:hint="default"/>
          <w:lang w:val="en-US" w:eastAsia="zh-CN"/>
        </w:rPr>
      </w:pPr>
      <w:r>
        <w:rPr>
          <w:rFonts w:hint="default"/>
          <w:lang w:val="en-US" w:eastAsia="zh-CN"/>
        </w:rPr>
        <w:br w:type="page"/>
      </w:r>
    </w:p>
    <w:tbl>
      <w:tblPr>
        <w:tblStyle w:val="81"/>
        <w:tblW w:w="8480"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8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trPr>
        <w:tc>
          <w:tcPr>
            <w:tcW w:w="6380" w:type="dxa"/>
            <w:tcBorders>
              <w:top w:val="single" w:color="auto" w:sz="4" w:space="0"/>
              <w:left w:val="single" w:color="auto" w:sz="4" w:space="0"/>
              <w:bottom w:val="single" w:color="auto" w:sz="4" w:space="0"/>
              <w:right w:val="single" w:color="auto" w:sz="4" w:space="0"/>
            </w:tcBorders>
            <w:shd w:val="clear" w:color="auto" w:fill="BDD5ED"/>
            <w:vAlign w:val="top"/>
          </w:tcPr>
          <w:p>
            <w:pPr>
              <w:shd w:val="clear" w:fill="BDD5ED"/>
              <w:spacing w:before="65" w:line="241" w:lineRule="auto"/>
              <w:ind w:left="40"/>
              <w:rPr>
                <w:rFonts w:ascii="仿宋" w:hAnsi="仿宋" w:eastAsia="仿宋" w:cs="仿宋"/>
                <w:sz w:val="20"/>
                <w:szCs w:val="20"/>
              </w:rPr>
            </w:pPr>
            <w:r>
              <w:rPr>
                <w:rFonts w:ascii="仿宋" w:hAnsi="仿宋" w:eastAsia="仿宋" w:cs="仿宋"/>
                <w:spacing w:val="3"/>
                <w:sz w:val="24"/>
                <w:szCs w:val="24"/>
              </w:rPr>
              <w:t>乙</w:t>
            </w:r>
            <w:r>
              <w:rPr>
                <w:rFonts w:hint="eastAsia" w:ascii="仿宋" w:hAnsi="仿宋" w:eastAsia="仿宋" w:cs="仿宋"/>
                <w:spacing w:val="3"/>
                <w:sz w:val="24"/>
                <w:szCs w:val="24"/>
                <w:lang w:eastAsia="zh-CN"/>
              </w:rPr>
              <w:t>、</w:t>
            </w:r>
            <w:r>
              <w:rPr>
                <w:rFonts w:ascii="仿宋" w:hAnsi="仿宋" w:eastAsia="仿宋" w:cs="仿宋"/>
                <w:spacing w:val="3"/>
                <w:sz w:val="24"/>
                <w:szCs w:val="24"/>
              </w:rPr>
              <w:t>为来港参与指定界别短期活动的访客提供入境便利先导计划([短期访客先导计划])的合资格访客</w:t>
            </w:r>
          </w:p>
        </w:tc>
        <w:tc>
          <w:tcPr>
            <w:tcW w:w="2100" w:type="dxa"/>
            <w:tcBorders>
              <w:top w:val="single" w:color="auto" w:sz="4" w:space="0"/>
              <w:left w:val="single" w:color="auto" w:sz="4" w:space="0"/>
              <w:bottom w:val="single" w:color="auto" w:sz="4" w:space="0"/>
              <w:right w:val="single" w:color="auto" w:sz="4" w:space="0"/>
            </w:tcBorders>
            <w:shd w:val="clear" w:color="auto" w:fill="BDD5ED"/>
            <w:vAlign w:val="top"/>
          </w:tcPr>
          <w:p>
            <w:pPr>
              <w:shd w:val="clear" w:fill="BDD5ED"/>
              <w:spacing w:before="65" w:line="241" w:lineRule="auto"/>
              <w:jc w:val="center"/>
              <w:rPr>
                <w:rFonts w:ascii="仿宋" w:hAnsi="仿宋" w:eastAsia="仿宋" w:cs="仿宋"/>
                <w:spacing w:val="3"/>
                <w:sz w:val="28"/>
                <w:szCs w:val="28"/>
              </w:rPr>
            </w:pPr>
            <w:r>
              <w:rPr>
                <w:rFonts w:ascii="仿宋" w:hAnsi="仿宋" w:eastAsia="仿宋" w:cs="仿宋"/>
                <w:spacing w:val="3"/>
                <w:sz w:val="28"/>
                <w:szCs w:val="28"/>
              </w:rPr>
              <w:t>备注</w:t>
            </w:r>
          </w:p>
          <w:p>
            <w:pPr>
              <w:spacing w:line="241" w:lineRule="auto"/>
              <w:ind w:left="39"/>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4" w:hRule="atLeast"/>
        </w:trPr>
        <w:tc>
          <w:tcPr>
            <w:tcW w:w="6380" w:type="dxa"/>
            <w:tcBorders>
              <w:top w:val="single" w:color="auto" w:sz="4" w:space="0"/>
              <w:left w:val="single" w:color="auto" w:sz="4" w:space="0"/>
              <w:bottom w:val="single" w:color="auto" w:sz="4" w:space="0"/>
              <w:right w:val="single" w:color="auto" w:sz="4" w:space="0"/>
            </w:tcBorders>
            <w:vAlign w:val="top"/>
          </w:tcPr>
          <w:p>
            <w:pPr>
              <w:spacing w:line="241" w:lineRule="auto"/>
              <w:rPr>
                <w:rFonts w:ascii="仿宋" w:hAnsi="仿宋" w:eastAsia="仿宋" w:cs="仿宋"/>
                <w:spacing w:val="9"/>
                <w:sz w:val="24"/>
                <w:szCs w:val="24"/>
              </w:rPr>
            </w:pPr>
            <w:r>
              <w:rPr>
                <w:rFonts w:ascii="仿宋" w:hAnsi="仿宋" w:eastAsia="仿宋" w:cs="仿宋"/>
                <w:spacing w:val="9"/>
                <w:sz w:val="24"/>
                <w:szCs w:val="24"/>
              </w:rPr>
              <w:t>获准根据|短期访客先导计划」以访客身份来港的人士， 必须持有计划下认可主办机构发出的邀请信，方可在留  港期间参与有关获认可的指定短期活动。他们每次来港  可在不超过指定参与活动的期限内参与指定短期活动。</w:t>
            </w:r>
          </w:p>
          <w:p>
            <w:pPr>
              <w:spacing w:line="241" w:lineRule="auto"/>
              <w:rPr>
                <w:rFonts w:ascii="仿宋" w:hAnsi="仿宋" w:eastAsia="仿宋" w:cs="仿宋"/>
                <w:spacing w:val="9"/>
                <w:sz w:val="24"/>
                <w:szCs w:val="24"/>
              </w:rPr>
            </w:pPr>
            <w:r>
              <w:rPr>
                <w:rFonts w:ascii="仿宋" w:hAnsi="仿宋" w:eastAsia="仿宋" w:cs="仿宋"/>
                <w:spacing w:val="9"/>
                <w:sz w:val="24"/>
                <w:szCs w:val="24"/>
              </w:rPr>
              <w:t>有关「短期访客先导计划」的详情包括获香港特别行政</w:t>
            </w:r>
          </w:p>
          <w:p>
            <w:pPr>
              <w:spacing w:line="241" w:lineRule="auto"/>
              <w:rPr>
                <w:rFonts w:ascii="仿宋" w:hAnsi="仿宋" w:eastAsia="仿宋" w:cs="仿宋"/>
                <w:spacing w:val="9"/>
                <w:sz w:val="24"/>
                <w:szCs w:val="24"/>
              </w:rPr>
            </w:pPr>
            <w:r>
              <w:rPr>
                <w:rFonts w:ascii="仿宋" w:hAnsi="仿宋" w:eastAsia="仿宋" w:cs="仿宋"/>
                <w:spacing w:val="9"/>
                <w:sz w:val="24"/>
                <w:szCs w:val="24"/>
              </w:rPr>
              <w:t>区政府相关决策局/部门认可的指定短期活动和主办</w:t>
            </w:r>
          </w:p>
          <w:p>
            <w:pPr>
              <w:spacing w:line="241" w:lineRule="auto"/>
              <w:rPr>
                <w:rFonts w:ascii="仿宋" w:hAnsi="仿宋" w:eastAsia="仿宋" w:cs="仿宋"/>
                <w:spacing w:val="9"/>
                <w:sz w:val="24"/>
                <w:szCs w:val="24"/>
              </w:rPr>
            </w:pPr>
            <w:r>
              <w:rPr>
                <w:rFonts w:ascii="仿宋" w:hAnsi="仿宋" w:eastAsia="仿宋" w:cs="仿宋"/>
                <w:spacing w:val="9"/>
                <w:sz w:val="24"/>
                <w:szCs w:val="24"/>
              </w:rPr>
              <w:t>机构的名单，以及参与指定短期活动的期限等各事项，</w:t>
            </w:r>
          </w:p>
          <w:p>
            <w:pPr>
              <w:spacing w:line="241" w:lineRule="auto"/>
              <w:rPr>
                <w:rFonts w:ascii="仿宋" w:hAnsi="仿宋" w:eastAsia="仿宋" w:cs="仿宋"/>
                <w:spacing w:val="9"/>
                <w:sz w:val="24"/>
                <w:szCs w:val="24"/>
              </w:rPr>
            </w:pPr>
            <w:r>
              <w:rPr>
                <w:rFonts w:ascii="仿宋" w:hAnsi="仿宋" w:eastAsia="仿宋" w:cs="仿宋"/>
                <w:spacing w:val="9"/>
                <w:sz w:val="24"/>
                <w:szCs w:val="24"/>
              </w:rPr>
              <w:t>请浏览以下网页：</w:t>
            </w:r>
          </w:p>
          <w:p>
            <w:pPr>
              <w:spacing w:before="20" w:line="211" w:lineRule="auto"/>
              <w:ind w:left="51"/>
              <w:rPr>
                <w:rFonts w:ascii="Times New Roman" w:hAnsi="Times New Roman" w:eastAsia="Times New Roman" w:cs="Times New Roman"/>
                <w:sz w:val="28"/>
                <w:szCs w:val="28"/>
              </w:rPr>
            </w:pPr>
            <w:r>
              <w:rPr>
                <w:sz w:val="72"/>
                <w:szCs w:val="144"/>
              </w:rPr>
              <w:fldChar w:fldCharType="begin"/>
            </w:r>
            <w:r>
              <w:rPr>
                <w:sz w:val="72"/>
                <w:szCs w:val="144"/>
              </w:rPr>
              <w:instrText xml:space="preserve"> HYPERLINK "https://www.immd.gov.hk/hks/services/visas/stv.html" </w:instrText>
            </w:r>
            <w:r>
              <w:rPr>
                <w:sz w:val="72"/>
                <w:szCs w:val="144"/>
              </w:rPr>
              <w:fldChar w:fldCharType="separate"/>
            </w:r>
            <w:r>
              <w:rPr>
                <w:rFonts w:ascii="Times New Roman" w:hAnsi="Times New Roman" w:eastAsia="Times New Roman" w:cs="Times New Roman"/>
                <w:color w:val="0000FF"/>
                <w:spacing w:val="3"/>
                <w:sz w:val="28"/>
                <w:szCs w:val="28"/>
              </w:rPr>
              <w:t>https://www.immd.gov.hk/hks/services/visas/stv.html</w:t>
            </w:r>
            <w:r>
              <w:rPr>
                <w:rFonts w:ascii="Times New Roman" w:hAnsi="Times New Roman" w:eastAsia="Times New Roman" w:cs="Times New Roman"/>
                <w:color w:val="0000FF"/>
                <w:spacing w:val="3"/>
                <w:sz w:val="28"/>
                <w:szCs w:val="28"/>
              </w:rPr>
              <w:fldChar w:fldCharType="end"/>
            </w:r>
          </w:p>
          <w:p>
            <w:pPr>
              <w:spacing w:before="18" w:line="263" w:lineRule="auto"/>
              <w:ind w:left="51"/>
              <w:jc w:val="both"/>
              <w:rPr>
                <w:rFonts w:ascii="仿宋" w:hAnsi="仿宋" w:eastAsia="仿宋" w:cs="仿宋"/>
                <w:spacing w:val="8"/>
                <w:sz w:val="24"/>
                <w:szCs w:val="24"/>
              </w:rPr>
            </w:pPr>
            <w:r>
              <w:rPr>
                <w:rFonts w:ascii="仿宋" w:hAnsi="仿宋" w:eastAsia="仿宋" w:cs="仿宋"/>
                <w:spacing w:val="8"/>
                <w:sz w:val="24"/>
                <w:szCs w:val="24"/>
              </w:rPr>
              <w:drawing>
                <wp:inline distT="0" distB="0" distL="0" distR="0">
                  <wp:extent cx="795020" cy="806450"/>
                  <wp:effectExtent l="0" t="0" r="5080" b="1270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5"/>
                          <a:stretch>
                            <a:fillRect/>
                          </a:stretch>
                        </pic:blipFill>
                        <pic:spPr>
                          <a:xfrm>
                            <a:off x="0" y="0"/>
                            <a:ext cx="795020" cy="806450"/>
                          </a:xfrm>
                          <a:prstGeom prst="rect">
                            <a:avLst/>
                          </a:prstGeom>
                        </pic:spPr>
                      </pic:pic>
                    </a:graphicData>
                  </a:graphic>
                </wp:inline>
              </w:drawing>
            </w:r>
          </w:p>
          <w:p>
            <w:pPr>
              <w:spacing w:before="13" w:line="241" w:lineRule="auto"/>
              <w:ind w:left="4"/>
              <w:rPr>
                <w:rFonts w:ascii="仿宋" w:hAnsi="仿宋" w:eastAsia="仿宋" w:cs="仿宋"/>
                <w:sz w:val="20"/>
                <w:szCs w:val="20"/>
              </w:rPr>
            </w:pPr>
          </w:p>
        </w:tc>
        <w:tc>
          <w:tcPr>
            <w:tcW w:w="2100" w:type="dxa"/>
            <w:tcBorders>
              <w:top w:val="single" w:color="auto" w:sz="4" w:space="0"/>
              <w:left w:val="single" w:color="auto" w:sz="4" w:space="0"/>
              <w:right w:val="single" w:color="auto" w:sz="4" w:space="0"/>
            </w:tcBorders>
            <w:vAlign w:val="top"/>
          </w:tcPr>
          <w:p>
            <w:pPr>
              <w:spacing w:line="241" w:lineRule="auto"/>
              <w:rPr>
                <w:rFonts w:ascii="仿宋" w:hAnsi="仿宋" w:eastAsia="仿宋" w:cs="仿宋"/>
                <w:spacing w:val="9"/>
                <w:sz w:val="24"/>
                <w:szCs w:val="24"/>
              </w:rPr>
            </w:pPr>
            <w:r>
              <w:rPr>
                <w:rFonts w:ascii="仿宋" w:hAnsi="仿宋" w:eastAsia="仿宋" w:cs="仿宋"/>
                <w:spacing w:val="9"/>
                <w:sz w:val="24"/>
                <w:szCs w:val="24"/>
              </w:rPr>
              <w:t>可就指定短期活动收取报酬。</w:t>
            </w:r>
          </w:p>
          <w:p>
            <w:pPr>
              <w:spacing w:line="241" w:lineRule="auto"/>
              <w:ind w:left="39"/>
              <w:rPr>
                <w:rFonts w:ascii="仿宋" w:hAnsi="仿宋" w:eastAsia="仿宋" w:cs="仿宋"/>
                <w:sz w:val="20"/>
                <w:szCs w:val="20"/>
              </w:rPr>
            </w:pPr>
          </w:p>
        </w:tc>
      </w:tr>
    </w:tbl>
    <w:tbl>
      <w:tblPr>
        <w:tblStyle w:val="81"/>
        <w:tblpPr w:leftFromText="180" w:rightFromText="180" w:vertAnchor="text" w:horzAnchor="page" w:tblpX="1813" w:tblpY="58"/>
        <w:tblOverlap w:val="never"/>
        <w:tblW w:w="85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50"/>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6" w:hRule="atLeast"/>
        </w:trPr>
        <w:tc>
          <w:tcPr>
            <w:tcW w:w="6350" w:type="dxa"/>
            <w:tcBorders>
              <w:top w:val="single" w:color="auto" w:sz="4" w:space="0"/>
              <w:left w:val="single" w:color="auto" w:sz="4" w:space="0"/>
              <w:bottom w:val="single" w:color="auto" w:sz="4" w:space="0"/>
              <w:right w:val="single" w:color="auto" w:sz="4" w:space="0"/>
            </w:tcBorders>
            <w:shd w:val="clear" w:color="auto" w:fill="BDD5ED"/>
            <w:vAlign w:val="top"/>
          </w:tcPr>
          <w:p>
            <w:pPr>
              <w:shd w:val="clear" w:fill="BDD5ED"/>
              <w:spacing w:before="65" w:line="241" w:lineRule="auto"/>
              <w:ind w:left="40"/>
              <w:rPr>
                <w:rFonts w:ascii="仿宋" w:hAnsi="仿宋" w:eastAsia="仿宋" w:cs="仿宋"/>
                <w:spacing w:val="3"/>
                <w:sz w:val="28"/>
                <w:szCs w:val="28"/>
              </w:rPr>
            </w:pPr>
            <w:r>
              <w:rPr>
                <w:rFonts w:ascii="仿宋" w:hAnsi="仿宋" w:eastAsia="仿宋" w:cs="仿宋"/>
                <w:spacing w:val="3"/>
                <w:sz w:val="28"/>
                <w:szCs w:val="28"/>
              </w:rPr>
              <w:t>丙、为来港参与仲裁程序的人士提供便利先导计划([仲裁访客先导计划」)的合资格访客</w:t>
            </w:r>
          </w:p>
          <w:p>
            <w:pPr>
              <w:spacing w:before="13" w:line="241" w:lineRule="auto"/>
              <w:ind w:left="4"/>
              <w:rPr>
                <w:rFonts w:ascii="仿宋" w:hAnsi="仿宋" w:eastAsia="仿宋" w:cs="仿宋"/>
                <w:sz w:val="20"/>
                <w:szCs w:val="20"/>
              </w:rPr>
            </w:pPr>
          </w:p>
        </w:tc>
        <w:tc>
          <w:tcPr>
            <w:tcW w:w="2156" w:type="dxa"/>
            <w:tcBorders>
              <w:top w:val="single" w:color="auto" w:sz="4" w:space="0"/>
              <w:left w:val="single" w:color="auto" w:sz="4" w:space="0"/>
              <w:right w:val="single" w:color="auto" w:sz="4" w:space="0"/>
            </w:tcBorders>
            <w:shd w:val="clear" w:color="auto" w:fill="BDD5ED"/>
            <w:vAlign w:val="top"/>
          </w:tcPr>
          <w:p>
            <w:pPr>
              <w:shd w:val="clear" w:fill="BDD5ED"/>
              <w:spacing w:before="65" w:line="241" w:lineRule="auto"/>
              <w:ind w:left="40"/>
              <w:jc w:val="center"/>
              <w:rPr>
                <w:rFonts w:ascii="仿宋" w:hAnsi="仿宋" w:eastAsia="仿宋" w:cs="仿宋"/>
                <w:spacing w:val="3"/>
                <w:sz w:val="28"/>
                <w:szCs w:val="28"/>
              </w:rPr>
            </w:pPr>
            <w:r>
              <w:rPr>
                <w:rFonts w:ascii="仿宋" w:hAnsi="仿宋" w:eastAsia="仿宋" w:cs="仿宋"/>
                <w:spacing w:val="3"/>
                <w:sz w:val="28"/>
                <w:szCs w:val="28"/>
              </w:rPr>
              <w:t>备注</w:t>
            </w:r>
          </w:p>
          <w:p>
            <w:pPr>
              <w:spacing w:line="241" w:lineRule="auto"/>
              <w:ind w:left="39"/>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5" w:hRule="atLeast"/>
        </w:trPr>
        <w:tc>
          <w:tcPr>
            <w:tcW w:w="6350" w:type="dxa"/>
            <w:tcBorders>
              <w:top w:val="single" w:color="auto" w:sz="4" w:space="0"/>
              <w:left w:val="single" w:color="auto" w:sz="4" w:space="0"/>
              <w:bottom w:val="single" w:color="auto" w:sz="4" w:space="0"/>
              <w:right w:val="single" w:color="auto" w:sz="4" w:space="0"/>
            </w:tcBorders>
            <w:vAlign w:val="top"/>
          </w:tcPr>
          <w:p>
            <w:pPr>
              <w:spacing w:before="18" w:line="263" w:lineRule="auto"/>
              <w:ind w:left="51"/>
              <w:jc w:val="both"/>
              <w:rPr>
                <w:rFonts w:ascii="仿宋" w:hAnsi="仿宋" w:eastAsia="仿宋" w:cs="仿宋"/>
                <w:spacing w:val="8"/>
                <w:sz w:val="24"/>
                <w:szCs w:val="24"/>
              </w:rPr>
            </w:pPr>
            <w:r>
              <w:rPr>
                <w:rFonts w:ascii="仿宋" w:hAnsi="仿宋" w:eastAsia="仿宋" w:cs="仿宋"/>
                <w:spacing w:val="8"/>
                <w:sz w:val="24"/>
                <w:szCs w:val="24"/>
              </w:rPr>
              <w:t xml:space="preserve">获准根据|仲裁访客先导计划」的以下四类合资格人士，  可就仲裁即(i)仲裁员；(ii)专家证人和事实证人；(iii) 代表仲裁程序任何一方的律师；及(iv)仲裁程序各方，并 </w:t>
            </w:r>
          </w:p>
          <w:p>
            <w:pPr>
              <w:spacing w:before="18" w:line="263" w:lineRule="auto"/>
              <w:ind w:left="51"/>
              <w:jc w:val="both"/>
              <w:rPr>
                <w:rFonts w:ascii="仿宋" w:hAnsi="仿宋" w:eastAsia="仿宋" w:cs="仿宋"/>
                <w:spacing w:val="8"/>
                <w:sz w:val="24"/>
                <w:szCs w:val="24"/>
              </w:rPr>
            </w:pPr>
            <w:r>
              <w:rPr>
                <w:rFonts w:ascii="仿宋" w:hAnsi="仿宋" w:eastAsia="仿宋" w:cs="仿宋"/>
                <w:spacing w:val="8"/>
                <w:sz w:val="24"/>
                <w:szCs w:val="24"/>
              </w:rPr>
              <w:t>持有由合资格的仲裁及争议解决机构和常设办事处或在聆讯设施齐备及信誉良好的场地举行的临时仲裁提供者签发的「证明书],可以访客身份来港参与有关的仲裁程序，无须取得工作进入许可。</w:t>
            </w:r>
          </w:p>
          <w:p>
            <w:pPr>
              <w:spacing w:before="18" w:line="263" w:lineRule="auto"/>
              <w:ind w:left="51"/>
              <w:jc w:val="both"/>
              <w:rPr>
                <w:rFonts w:ascii="仿宋" w:hAnsi="仿宋" w:eastAsia="仿宋" w:cs="仿宋"/>
                <w:spacing w:val="8"/>
                <w:sz w:val="24"/>
                <w:szCs w:val="24"/>
              </w:rPr>
            </w:pPr>
            <w:r>
              <w:rPr>
                <w:rFonts w:ascii="仿宋" w:hAnsi="仿宋" w:eastAsia="仿宋" w:cs="仿宋"/>
                <w:spacing w:val="8"/>
                <w:sz w:val="24"/>
                <w:szCs w:val="24"/>
              </w:rPr>
              <w:t>有关|仲裁访客先导计划」的详情，请浏览以下网页：</w:t>
            </w:r>
          </w:p>
          <w:p>
            <w:pPr>
              <w:spacing w:before="20" w:line="211" w:lineRule="auto"/>
              <w:rPr>
                <w:rFonts w:ascii="仿宋" w:hAnsi="仿宋" w:eastAsia="仿宋" w:cs="仿宋"/>
                <w:spacing w:val="8"/>
                <w:sz w:val="24"/>
                <w:szCs w:val="24"/>
              </w:rPr>
            </w:pPr>
            <w:r>
              <w:rPr>
                <w:rFonts w:hint="eastAsia" w:ascii="Times New Roman" w:hAnsi="Times New Roman" w:eastAsia="Times New Roman" w:cs="Times New Roman"/>
                <w:color w:val="0000FF"/>
                <w:spacing w:val="3"/>
                <w:sz w:val="24"/>
                <w:szCs w:val="24"/>
              </w:rPr>
              <w:fldChar w:fldCharType="begin"/>
            </w:r>
            <w:r>
              <w:rPr>
                <w:rFonts w:hint="eastAsia" w:ascii="Times New Roman" w:hAnsi="Times New Roman" w:eastAsia="Times New Roman" w:cs="Times New Roman"/>
                <w:color w:val="0000FF"/>
                <w:spacing w:val="3"/>
                <w:sz w:val="24"/>
                <w:szCs w:val="24"/>
              </w:rPr>
              <w:instrText xml:space="preserve"> HYPERLINK "https://wwwimmd.gov.hk/hks/services/visas/arbitrator.html" </w:instrText>
            </w:r>
            <w:r>
              <w:rPr>
                <w:rFonts w:hint="eastAsia" w:ascii="Times New Roman" w:hAnsi="Times New Roman" w:eastAsia="Times New Roman" w:cs="Times New Roman"/>
                <w:color w:val="0000FF"/>
                <w:spacing w:val="3"/>
                <w:sz w:val="24"/>
                <w:szCs w:val="24"/>
              </w:rPr>
              <w:fldChar w:fldCharType="separate"/>
            </w:r>
            <w:r>
              <w:rPr>
                <w:rFonts w:hint="eastAsia" w:ascii="Times New Roman" w:hAnsi="Times New Roman" w:eastAsia="Times New Roman" w:cs="Times New Roman"/>
                <w:color w:val="0000FF"/>
                <w:spacing w:val="3"/>
                <w:sz w:val="24"/>
                <w:szCs w:val="24"/>
              </w:rPr>
              <w:t>https://wwwimmd.gov.hk/hks/services/visas/arbitrator.html</w:t>
            </w:r>
            <w:r>
              <w:rPr>
                <w:rFonts w:hint="eastAsia" w:ascii="Times New Roman" w:hAnsi="Times New Roman" w:eastAsia="Times New Roman" w:cs="Times New Roman"/>
                <w:color w:val="0000FF"/>
                <w:spacing w:val="3"/>
                <w:sz w:val="24"/>
                <w:szCs w:val="24"/>
              </w:rPr>
              <w:fldChar w:fldCharType="end"/>
            </w:r>
            <w:r>
              <w:rPr>
                <w:rFonts w:ascii="仿宋" w:hAnsi="仿宋" w:eastAsia="仿宋" w:cs="仿宋"/>
                <w:spacing w:val="8"/>
                <w:sz w:val="24"/>
                <w:szCs w:val="24"/>
              </w:rPr>
              <w:drawing>
                <wp:inline distT="0" distB="0" distL="0" distR="0">
                  <wp:extent cx="1070610" cy="1135380"/>
                  <wp:effectExtent l="0" t="0" r="15240" b="762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
                          <a:stretch>
                            <a:fillRect/>
                          </a:stretch>
                        </pic:blipFill>
                        <pic:spPr>
                          <a:xfrm>
                            <a:off x="0" y="0"/>
                            <a:ext cx="1070610" cy="1135380"/>
                          </a:xfrm>
                          <a:prstGeom prst="rect">
                            <a:avLst/>
                          </a:prstGeom>
                        </pic:spPr>
                      </pic:pic>
                    </a:graphicData>
                  </a:graphic>
                </wp:inline>
              </w:drawing>
            </w:r>
          </w:p>
          <w:p>
            <w:pPr>
              <w:spacing w:before="13" w:line="241" w:lineRule="auto"/>
              <w:ind w:left="4"/>
              <w:rPr>
                <w:rFonts w:ascii="仿宋" w:hAnsi="仿宋" w:eastAsia="仿宋" w:cs="仿宋"/>
                <w:sz w:val="20"/>
                <w:szCs w:val="20"/>
              </w:rPr>
            </w:pPr>
          </w:p>
        </w:tc>
        <w:tc>
          <w:tcPr>
            <w:tcW w:w="2156" w:type="dxa"/>
            <w:tcBorders>
              <w:top w:val="single" w:color="auto" w:sz="4" w:space="0"/>
              <w:left w:val="single" w:color="auto" w:sz="4" w:space="0"/>
              <w:right w:val="single" w:color="auto" w:sz="4" w:space="0"/>
            </w:tcBorders>
            <w:vAlign w:val="top"/>
          </w:tcPr>
          <w:p>
            <w:pPr>
              <w:spacing w:before="18" w:line="263" w:lineRule="auto"/>
              <w:jc w:val="left"/>
              <w:rPr>
                <w:rFonts w:ascii="仿宋" w:hAnsi="仿宋" w:eastAsia="仿宋" w:cs="仿宋"/>
                <w:spacing w:val="10"/>
                <w:sz w:val="24"/>
                <w:szCs w:val="24"/>
              </w:rPr>
            </w:pPr>
            <w:r>
              <w:rPr>
                <w:rFonts w:ascii="仿宋" w:hAnsi="仿宋" w:eastAsia="仿宋" w:cs="仿宋"/>
                <w:spacing w:val="10"/>
                <w:sz w:val="24"/>
                <w:szCs w:val="24"/>
              </w:rPr>
              <w:t>可就</w:t>
            </w:r>
            <w:r>
              <w:rPr>
                <w:rFonts w:hint="eastAsia" w:ascii="仿宋" w:hAnsi="仿宋" w:eastAsia="仿宋" w:cs="仿宋"/>
                <w:spacing w:val="10"/>
                <w:sz w:val="24"/>
                <w:szCs w:val="24"/>
              </w:rPr>
              <w:t>仲裁程序收取</w:t>
            </w:r>
            <w:r>
              <w:rPr>
                <w:rFonts w:ascii="仿宋" w:hAnsi="仿宋" w:eastAsia="仿宋" w:cs="仿宋"/>
                <w:spacing w:val="10"/>
                <w:sz w:val="24"/>
                <w:szCs w:val="24"/>
              </w:rPr>
              <w:t>报酬。</w:t>
            </w:r>
          </w:p>
          <w:p>
            <w:pPr>
              <w:spacing w:line="241" w:lineRule="auto"/>
              <w:ind w:left="39"/>
              <w:rPr>
                <w:rFonts w:ascii="仿宋" w:hAnsi="仿宋" w:eastAsia="仿宋" w:cs="仿宋"/>
                <w:sz w:val="20"/>
                <w:szCs w:val="20"/>
              </w:rPr>
            </w:pPr>
          </w:p>
        </w:tc>
      </w:tr>
    </w:tbl>
    <w:p>
      <w:pPr>
        <w:spacing w:before="20" w:line="211" w:lineRule="auto"/>
        <w:ind w:left="51"/>
      </w:pPr>
    </w:p>
    <w:p>
      <w:pPr>
        <w:numPr>
          <w:ilvl w:val="0"/>
          <w:numId w:val="0"/>
        </w:num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 查询</w:t>
      </w:r>
    </w:p>
    <w:p>
      <w:pPr>
        <w:keepNext w:val="0"/>
        <w:keepLines w:val="0"/>
        <w:pageBreakBefore w:val="0"/>
        <w:widowControl w:val="0"/>
        <w:kinsoku/>
        <w:wordWrap/>
        <w:overflowPunct/>
        <w:topLinePunct w:val="0"/>
        <w:autoSpaceDE/>
        <w:autoSpaceDN/>
        <w:bidi w:val="0"/>
        <w:adjustRightInd/>
        <w:snapToGrid/>
        <w:spacing w:before="77" w:line="296" w:lineRule="auto"/>
        <w:ind w:left="45" w:right="408" w:firstLine="560" w:firstLineChars="200"/>
        <w:textAlignment w:val="auto"/>
        <w:rPr>
          <w:rFonts w:hint="eastAsia" w:ascii="仿宋" w:hAnsi="仿宋" w:eastAsia="宋体" w:cs="仿宋"/>
          <w:spacing w:val="13"/>
          <w:sz w:val="24"/>
          <w:szCs w:val="24"/>
          <w:lang w:eastAsia="zh-CN"/>
        </w:rPr>
      </w:pPr>
      <w:r>
        <w:rPr>
          <w:rFonts w:hint="eastAsia" w:ascii="仿宋" w:hAnsi="仿宋" w:eastAsia="仿宋" w:cs="仿宋"/>
          <w:sz w:val="28"/>
          <w:szCs w:val="28"/>
          <w:lang w:val="en-US" w:eastAsia="zh-CN"/>
        </w:rPr>
        <w:t>可透过查询热线(852)28246111、传真(852)28777711或电邮</w:t>
      </w:r>
      <w:r>
        <w:rPr>
          <w:rFonts w:ascii="Times New Roman" w:hAnsi="Times New Roman" w:eastAsia="Times New Roman" w:cs="Times New Roman"/>
          <w:color w:val="0000FF"/>
          <w:sz w:val="24"/>
          <w:szCs w:val="24"/>
        </w:rPr>
        <w:t>enquiry</w:t>
      </w:r>
      <w:r>
        <w:rPr>
          <w:rFonts w:ascii="Times New Roman" w:hAnsi="Times New Roman" w:eastAsia="Times New Roman" w:cs="Times New Roman"/>
          <w:color w:val="0000FF"/>
          <w:spacing w:val="11"/>
          <w:sz w:val="24"/>
          <w:szCs w:val="24"/>
        </w:rPr>
        <w:t>@</w:t>
      </w:r>
      <w:r>
        <w:rPr>
          <w:rFonts w:ascii="Times New Roman" w:hAnsi="Times New Roman" w:eastAsia="Times New Roman" w:cs="Times New Roman"/>
          <w:color w:val="0000FF"/>
          <w:sz w:val="24"/>
          <w:szCs w:val="24"/>
        </w:rPr>
        <w:t>immd</w:t>
      </w:r>
      <w:r>
        <w:rPr>
          <w:rFonts w:ascii="Times New Roman" w:hAnsi="Times New Roman" w:eastAsia="Times New Roman" w:cs="Times New Roman"/>
          <w:color w:val="0000FF"/>
          <w:spacing w:val="11"/>
          <w:sz w:val="24"/>
          <w:szCs w:val="24"/>
        </w:rPr>
        <w:t>.</w:t>
      </w:r>
      <w:r>
        <w:rPr>
          <w:rFonts w:ascii="Times New Roman" w:hAnsi="Times New Roman" w:eastAsia="Times New Roman" w:cs="Times New Roman"/>
          <w:color w:val="0000FF"/>
          <w:sz w:val="24"/>
          <w:szCs w:val="24"/>
        </w:rPr>
        <w:t>gov</w:t>
      </w:r>
      <w:r>
        <w:rPr>
          <w:rFonts w:ascii="Times New Roman" w:hAnsi="Times New Roman" w:eastAsia="Times New Roman" w:cs="Times New Roman"/>
          <w:color w:val="0000FF"/>
          <w:spacing w:val="11"/>
          <w:sz w:val="24"/>
          <w:szCs w:val="24"/>
        </w:rPr>
        <w:t>.</w:t>
      </w:r>
      <w:r>
        <w:rPr>
          <w:rFonts w:ascii="Times New Roman" w:hAnsi="Times New Roman" w:eastAsia="Times New Roman" w:cs="Times New Roman"/>
          <w:color w:val="0000FF"/>
          <w:sz w:val="24"/>
          <w:szCs w:val="24"/>
        </w:rPr>
        <w:t>hk</w:t>
      </w:r>
      <w:r>
        <w:rPr>
          <w:rFonts w:ascii="Times New Roman" w:hAnsi="Times New Roman" w:eastAsia="Times New Roman" w:cs="Times New Roman"/>
          <w:color w:val="0000FF"/>
          <w:spacing w:val="2"/>
          <w:sz w:val="24"/>
          <w:szCs w:val="24"/>
        </w:rPr>
        <w:t xml:space="preserve"> </w:t>
      </w:r>
      <w:r>
        <w:rPr>
          <w:rFonts w:hint="eastAsia" w:ascii="仿宋" w:hAnsi="仿宋" w:eastAsia="仿宋" w:cs="仿宋"/>
          <w:sz w:val="28"/>
          <w:szCs w:val="28"/>
          <w:lang w:val="en-US" w:eastAsia="zh-CN"/>
        </w:rPr>
        <w:t>向入境事务处查询，或可浏览入境事务处网页</w:t>
      </w:r>
      <w:r>
        <w:rPr>
          <w:rFonts w:ascii="Times New Roman" w:hAnsi="Times New Roman" w:eastAsia="Times New Roman" w:cs="Times New Roman"/>
          <w:color w:val="0000FF"/>
          <w:sz w:val="24"/>
          <w:szCs w:val="24"/>
        </w:rPr>
        <w:t>www</w:t>
      </w:r>
      <w:r>
        <w:rPr>
          <w:rFonts w:ascii="Times New Roman" w:hAnsi="Times New Roman" w:eastAsia="Times New Roman" w:cs="Times New Roman"/>
          <w:color w:val="0000FF"/>
          <w:spacing w:val="2"/>
          <w:sz w:val="24"/>
          <w:szCs w:val="24"/>
        </w:rPr>
        <w:t>.</w:t>
      </w:r>
      <w:r>
        <w:rPr>
          <w:rFonts w:ascii="Times New Roman" w:hAnsi="Times New Roman" w:eastAsia="Times New Roman" w:cs="Times New Roman"/>
          <w:color w:val="0000FF"/>
          <w:sz w:val="24"/>
          <w:szCs w:val="24"/>
        </w:rPr>
        <w:t>immd</w:t>
      </w:r>
      <w:r>
        <w:rPr>
          <w:rFonts w:ascii="Times New Roman" w:hAnsi="Times New Roman" w:eastAsia="Times New Roman" w:cs="Times New Roman"/>
          <w:color w:val="0000FF"/>
          <w:spacing w:val="2"/>
          <w:sz w:val="24"/>
          <w:szCs w:val="24"/>
        </w:rPr>
        <w:t>.</w:t>
      </w:r>
      <w:r>
        <w:rPr>
          <w:rFonts w:ascii="Times New Roman" w:hAnsi="Times New Roman" w:eastAsia="Times New Roman" w:cs="Times New Roman"/>
          <w:color w:val="0000FF"/>
          <w:sz w:val="24"/>
          <w:szCs w:val="24"/>
        </w:rPr>
        <w:t>gov</w:t>
      </w:r>
      <w:r>
        <w:rPr>
          <w:rFonts w:ascii="Times New Roman" w:hAnsi="Times New Roman" w:eastAsia="Times New Roman" w:cs="Times New Roman"/>
          <w:color w:val="0000FF"/>
          <w:spacing w:val="2"/>
          <w:sz w:val="24"/>
          <w:szCs w:val="24"/>
        </w:rPr>
        <w:t>.</w:t>
      </w:r>
      <w:r>
        <w:rPr>
          <w:rFonts w:ascii="Times New Roman" w:hAnsi="Times New Roman" w:eastAsia="Times New Roman" w:cs="Times New Roman"/>
          <w:color w:val="0000FF"/>
          <w:sz w:val="24"/>
          <w:szCs w:val="24"/>
        </w:rPr>
        <w:t>hk</w:t>
      </w:r>
      <w:r>
        <w:rPr>
          <w:rFonts w:hint="eastAsia" w:ascii="Times New Roman" w:hAnsi="Times New Roman" w:eastAsia="宋体" w:cs="Times New Roman"/>
          <w:color w:val="0000FF"/>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77" w:line="296" w:lineRule="auto"/>
        <w:ind w:left="45" w:right="408" w:firstLine="532" w:firstLineChars="200"/>
        <w:textAlignment w:val="auto"/>
        <w:rPr>
          <w:rFonts w:ascii="仿宋" w:hAnsi="仿宋" w:eastAsia="仿宋" w:cs="仿宋"/>
          <w:spacing w:val="13"/>
          <w:sz w:val="24"/>
          <w:szCs w:val="24"/>
        </w:rPr>
      </w:pPr>
    </w:p>
    <w:p>
      <w:pPr>
        <w:keepNext w:val="0"/>
        <w:keepLines w:val="0"/>
        <w:pageBreakBefore w:val="0"/>
        <w:widowControl w:val="0"/>
        <w:kinsoku/>
        <w:wordWrap/>
        <w:overflowPunct/>
        <w:topLinePunct w:val="0"/>
        <w:autoSpaceDE/>
        <w:autoSpaceDN/>
        <w:bidi w:val="0"/>
        <w:adjustRightInd/>
        <w:snapToGrid/>
        <w:spacing w:before="77" w:line="296" w:lineRule="auto"/>
        <w:ind w:left="45" w:right="408" w:firstLine="532" w:firstLineChars="200"/>
        <w:textAlignment w:val="auto"/>
        <w:rPr>
          <w:rFonts w:ascii="仿宋" w:hAnsi="仿宋" w:eastAsia="仿宋" w:cs="仿宋"/>
          <w:spacing w:val="13"/>
          <w:sz w:val="24"/>
          <w:szCs w:val="24"/>
        </w:rPr>
      </w:pPr>
    </w:p>
    <w:p>
      <w:pPr>
        <w:keepNext w:val="0"/>
        <w:keepLines w:val="0"/>
        <w:pageBreakBefore w:val="0"/>
        <w:widowControl w:val="0"/>
        <w:kinsoku/>
        <w:wordWrap/>
        <w:overflowPunct/>
        <w:topLinePunct w:val="0"/>
        <w:autoSpaceDE/>
        <w:autoSpaceDN/>
        <w:bidi w:val="0"/>
        <w:adjustRightInd/>
        <w:snapToGrid/>
        <w:spacing w:before="77" w:line="296" w:lineRule="auto"/>
        <w:ind w:left="45" w:right="408" w:firstLine="532" w:firstLineChars="200"/>
        <w:textAlignment w:val="auto"/>
        <w:rPr>
          <w:rFonts w:ascii="仿宋" w:hAnsi="仿宋" w:eastAsia="仿宋" w:cs="仿宋"/>
          <w:spacing w:val="13"/>
          <w:sz w:val="24"/>
          <w:szCs w:val="24"/>
        </w:rPr>
      </w:pPr>
    </w:p>
    <w:p>
      <w:pPr>
        <w:keepNext w:val="0"/>
        <w:keepLines w:val="0"/>
        <w:pageBreakBefore w:val="0"/>
        <w:widowControl w:val="0"/>
        <w:kinsoku/>
        <w:wordWrap/>
        <w:overflowPunct/>
        <w:topLinePunct w:val="0"/>
        <w:autoSpaceDE/>
        <w:autoSpaceDN/>
        <w:bidi w:val="0"/>
        <w:adjustRightInd/>
        <w:snapToGrid/>
        <w:spacing w:before="77" w:line="296" w:lineRule="auto"/>
        <w:ind w:left="45" w:right="408" w:firstLine="532" w:firstLineChars="200"/>
        <w:textAlignment w:val="auto"/>
        <w:rPr>
          <w:rFonts w:ascii="仿宋" w:hAnsi="仿宋" w:eastAsia="仿宋" w:cs="仿宋"/>
          <w:spacing w:val="13"/>
          <w:sz w:val="24"/>
          <w:szCs w:val="24"/>
        </w:rPr>
      </w:pPr>
    </w:p>
    <w:p>
      <w:pPr>
        <w:keepNext w:val="0"/>
        <w:keepLines w:val="0"/>
        <w:pageBreakBefore w:val="0"/>
        <w:widowControl w:val="0"/>
        <w:kinsoku/>
        <w:wordWrap/>
        <w:overflowPunct/>
        <w:topLinePunct w:val="0"/>
        <w:autoSpaceDE/>
        <w:autoSpaceDN/>
        <w:bidi w:val="0"/>
        <w:adjustRightInd/>
        <w:snapToGrid/>
        <w:spacing w:before="77" w:line="296" w:lineRule="auto"/>
        <w:ind w:left="45" w:right="408" w:firstLine="532" w:firstLineChars="200"/>
        <w:textAlignment w:val="auto"/>
        <w:rPr>
          <w:rFonts w:ascii="仿宋" w:hAnsi="仿宋" w:eastAsia="仿宋" w:cs="仿宋"/>
          <w:sz w:val="6"/>
          <w:szCs w:val="6"/>
        </w:rPr>
      </w:pPr>
      <w:r>
        <w:rPr>
          <w:rFonts w:ascii="仿宋" w:hAnsi="仿宋" w:eastAsia="仿宋" w:cs="仿宋"/>
          <w:spacing w:val="13"/>
          <w:sz w:val="24"/>
          <w:szCs w:val="24"/>
        </w:rPr>
        <w:t xml:space="preserve">     </w:t>
      </w:r>
      <w:r>
        <w:rPr>
          <w:rFonts w:ascii="仿宋" w:hAnsi="仿宋" w:eastAsia="仿宋" w:cs="仿宋"/>
          <w:spacing w:val="2"/>
          <w:sz w:val="6"/>
          <w:szCs w:val="6"/>
        </w:rPr>
        <w:t>。</w:t>
      </w:r>
    </w:p>
    <w:p>
      <w:pPr>
        <w:numPr>
          <w:ilvl w:val="0"/>
          <w:numId w:val="0"/>
        </w:numPr>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内地居民持用人才签注往来澳门特区须知</w:t>
      </w:r>
    </w:p>
    <w:p>
      <w:pPr>
        <w:numPr>
          <w:ilvl w:val="0"/>
          <w:numId w:val="0"/>
        </w:numPr>
        <w:ind w:firstLine="643" w:firstLineChars="20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(澳门治安警察局)</w:t>
      </w:r>
    </w:p>
    <w:p>
      <w:pPr>
        <w:numPr>
          <w:ilvl w:val="0"/>
          <w:numId w:val="0"/>
        </w:numPr>
        <w:ind w:firstLine="643" w:firstLineChars="200"/>
        <w:jc w:val="center"/>
        <w:rPr>
          <w:rFonts w:hint="eastAsia" w:ascii="宋体" w:hAnsi="宋体" w:eastAsia="宋体" w:cs="宋体"/>
          <w:b/>
          <w:bCs/>
          <w:sz w:val="32"/>
          <w:szCs w:val="32"/>
          <w:lang w:val="en-US" w:eastAsia="zh-CN"/>
        </w:rPr>
      </w:pP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一、逗留期限</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内地居民入境澳门时，澳门治安警察局按照往来港澳通行证上的人才签注批给逗留期间和发出逗留许可凭条，超过有关许可期间而逾期逗留视为非法逗留。</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ascii="仿宋" w:hAnsi="仿宋" w:eastAsia="仿宋" w:cs="仿宋"/>
          <w:sz w:val="24"/>
          <w:szCs w:val="24"/>
        </w:rPr>
      </w:pPr>
      <w:r>
        <w:rPr>
          <w:rFonts w:hint="eastAsia" w:ascii="仿宋" w:hAnsi="仿宋" w:eastAsia="仿宋" w:cs="仿宋"/>
          <w:sz w:val="28"/>
          <w:szCs w:val="28"/>
          <w:lang w:val="en-US" w:eastAsia="zh-CN"/>
        </w:rPr>
        <w:t>逾期逗留将被科处每天500至800澳门币罚款。拒绝罚款、逾期超过30天，又或一年内重复逾期逗留，将被禁止入境，并自禁止入境期间届满起两年内不得申请居留许可或逗留特别许可。</w:t>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 声明入境目的</w:t>
      </w:r>
    </w:p>
    <w:p>
      <w:pPr>
        <w:keepNext w:val="0"/>
        <w:keepLines w:val="0"/>
        <w:pageBreakBefore w:val="0"/>
        <w:widowControl w:val="0"/>
        <w:kinsoku/>
        <w:wordWrap/>
        <w:overflowPunct/>
        <w:topLinePunct w:val="0"/>
        <w:autoSpaceDE/>
        <w:autoSpaceDN/>
        <w:bidi w:val="0"/>
        <w:adjustRightInd/>
        <w:snapToGrid/>
        <w:spacing w:before="64" w:line="358" w:lineRule="auto"/>
        <w:ind w:left="51" w:right="38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根据第16/2021 号法律《澳门特别行政区出入境管控、逗留  及居留许可的法律制度》第二十一条规定(可扫描下页二维码了  解法律), 非居民倘以该条文所定义的旅游或等同旅游目的来澳  门，例如以观众或听众的身份参与研讨会、会议或学术交流，以  及进行其他类似性质的活动等，无需主动声明。非居民倘以其他  目的来澳门，则应在入境时主动向当值警员声明， 一般情况下， 只要拟从事的活动无须由澳门权限部门预先批准(例如在公共地  方举办表演、从事劳务工作等，须预先获得许可), 以及不抵触  现行法律法规，经声明后均可获准入境。</w:t>
      </w:r>
    </w:p>
    <w:p>
      <w:pPr>
        <w:keepNext w:val="0"/>
        <w:keepLines w:val="0"/>
        <w:pageBreakBefore w:val="0"/>
        <w:widowControl w:val="0"/>
        <w:kinsoku/>
        <w:wordWrap/>
        <w:overflowPunct/>
        <w:topLinePunct w:val="0"/>
        <w:autoSpaceDE/>
        <w:autoSpaceDN/>
        <w:bidi w:val="0"/>
        <w:adjustRightInd/>
        <w:snapToGrid/>
        <w:spacing w:before="64" w:line="358" w:lineRule="auto"/>
        <w:ind w:left="51" w:right="38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非居民入境后，如果入境目的有所变更，应及时前往治安警 察局调查及遣送处作出声明(地址：澳门函仔北安码头一巷，治安警察局出入境事务大楼)。</w:t>
      </w:r>
    </w:p>
    <w:p>
      <w:pPr>
        <w:keepNext w:val="0"/>
        <w:keepLines w:val="0"/>
        <w:pageBreakBefore w:val="0"/>
        <w:widowControl w:val="0"/>
        <w:kinsoku/>
        <w:wordWrap/>
        <w:overflowPunct/>
        <w:topLinePunct w:val="0"/>
        <w:autoSpaceDE/>
        <w:autoSpaceDN/>
        <w:bidi w:val="0"/>
        <w:adjustRightInd/>
        <w:snapToGrid/>
        <w:spacing w:before="64" w:line="358" w:lineRule="auto"/>
        <w:ind w:left="51" w:right="38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非居民倘被发现在澳从事的活动明显偏离入境目的，可被依 法废止逗留许可和限期离境，以及限制入境。</w:t>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 禁止非法工作</w:t>
      </w:r>
    </w:p>
    <w:p>
      <w:pPr>
        <w:keepNext w:val="0"/>
        <w:keepLines w:val="0"/>
        <w:pageBreakBefore w:val="0"/>
        <w:widowControl w:val="0"/>
        <w:kinsoku/>
        <w:wordWrap/>
        <w:overflowPunct/>
        <w:topLinePunct w:val="0"/>
        <w:autoSpaceDE/>
        <w:autoSpaceDN/>
        <w:bidi w:val="0"/>
        <w:adjustRightInd/>
        <w:snapToGrid/>
        <w:spacing w:before="64" w:line="358" w:lineRule="auto"/>
        <w:ind w:left="51" w:right="38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根据第21/2009号法律《聘用外地雇员法》和第17/2004 号 行政法规《禁止非法工作规章》规定(可扫描下页二维码了解法律法规), 非居民在本澳工作，无论属受雇或是自雇，无论有否获取报酬，均须预先取得行政许可，未获许可的非居民不得在澳从事工作。</w:t>
      </w:r>
    </w:p>
    <w:p>
      <w:pPr>
        <w:keepNext w:val="0"/>
        <w:keepLines w:val="0"/>
        <w:pageBreakBefore w:val="0"/>
        <w:widowControl w:val="0"/>
        <w:kinsoku/>
        <w:wordWrap/>
        <w:overflowPunct/>
        <w:topLinePunct w:val="0"/>
        <w:autoSpaceDE/>
        <w:autoSpaceDN/>
        <w:bidi w:val="0"/>
        <w:adjustRightInd/>
        <w:snapToGrid/>
        <w:spacing w:before="64" w:line="358" w:lineRule="auto"/>
        <w:ind w:left="51" w:right="38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违反上述规定将构成行政违法， 除罚款5000 至20000澳门 币外，也可被依法废止逗留许可和限期离境，以及限制入境。</w:t>
      </w:r>
    </w:p>
    <w:p>
      <w:pPr>
        <w:keepNext w:val="0"/>
        <w:keepLines w:val="0"/>
        <w:pageBreakBefore w:val="0"/>
        <w:widowControl w:val="0"/>
        <w:kinsoku/>
        <w:wordWrap/>
        <w:overflowPunct/>
        <w:topLinePunct w:val="0"/>
        <w:autoSpaceDE/>
        <w:autoSpaceDN/>
        <w:bidi w:val="0"/>
        <w:adjustRightInd/>
        <w:snapToGrid/>
        <w:spacing w:before="64" w:line="358" w:lineRule="auto"/>
        <w:ind w:left="51" w:right="38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非居民倘从事《禁止非法工作规章》第四条所指“例外情况” 的活动，无须预先取得行政许可，但提供工作或服务而逗留的最   长期限为每六个月内连续或间断四十五日。非居民、相关人士或   企业须保存实际提供服务的日期记录，以便在澳门有关部门稽查   时出示。</w:t>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 查询</w:t>
      </w:r>
    </w:p>
    <w:p>
      <w:pPr>
        <w:keepNext w:val="0"/>
        <w:keepLines w:val="0"/>
        <w:pageBreakBefore w:val="0"/>
        <w:widowControl w:val="0"/>
        <w:kinsoku/>
        <w:wordWrap/>
        <w:overflowPunct/>
        <w:topLinePunct w:val="0"/>
        <w:autoSpaceDE/>
        <w:autoSpaceDN/>
        <w:bidi w:val="0"/>
        <w:adjustRightInd/>
        <w:snapToGrid/>
        <w:spacing w:before="64" w:line="358" w:lineRule="auto"/>
        <w:ind w:left="51" w:right="38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如对逗留期限、声明入境目的、禁止非法工作，或防疫措施、 遗失证件等存有疑问和需要协助，可致电澳门治安警察局出入境  事务热线(853)28725488或电邮至 sminfo@fsm.gov.mo 查询。</w:t>
      </w:r>
    </w:p>
    <w:p>
      <w:pPr>
        <w:keepNext w:val="0"/>
        <w:keepLines w:val="0"/>
        <w:pageBreakBefore w:val="0"/>
        <w:widowControl w:val="0"/>
        <w:kinsoku/>
        <w:wordWrap/>
        <w:overflowPunct/>
        <w:topLinePunct w:val="0"/>
        <w:autoSpaceDE/>
        <w:autoSpaceDN/>
        <w:bidi w:val="0"/>
        <w:adjustRightInd/>
        <w:snapToGrid/>
        <w:spacing w:before="64" w:line="358" w:lineRule="auto"/>
        <w:ind w:left="51" w:right="38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如对聘用外地雇员申请和非居民为自身利益从事活动工作 许可申请存有疑问，可致电劳工事务局(853)28336960或电邮至 dsaldctnr@dsal.gov.mo 查询；</w:t>
      </w:r>
    </w:p>
    <w:p>
      <w:pPr>
        <w:keepNext w:val="0"/>
        <w:keepLines w:val="0"/>
        <w:pageBreakBefore w:val="0"/>
        <w:widowControl w:val="0"/>
        <w:kinsoku/>
        <w:wordWrap/>
        <w:overflowPunct/>
        <w:topLinePunct w:val="0"/>
        <w:autoSpaceDE/>
        <w:autoSpaceDN/>
        <w:bidi w:val="0"/>
        <w:adjustRightInd/>
        <w:snapToGrid/>
        <w:spacing w:before="64" w:line="358" w:lineRule="auto"/>
        <w:ind w:left="51" w:right="38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如对《禁止非法工作规章》中的"例外情况"存有疑问，可致电该局(853)27400333或电邮至dsalinfoadsal.gov.mo查询。</w:t>
      </w:r>
    </w:p>
    <w:p>
      <w:pPr>
        <w:keepNext w:val="0"/>
        <w:keepLines w:val="0"/>
        <w:pageBreakBefore w:val="0"/>
        <w:widowControl w:val="0"/>
        <w:kinsoku/>
        <w:wordWrap/>
        <w:overflowPunct/>
        <w:topLinePunct w:val="0"/>
        <w:autoSpaceDE/>
        <w:autoSpaceDN/>
        <w:bidi w:val="0"/>
        <w:adjustRightInd/>
        <w:snapToGrid/>
        <w:spacing w:before="64" w:line="358" w:lineRule="auto"/>
        <w:ind w:left="51" w:right="380"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64" w:line="358" w:lineRule="auto"/>
        <w:ind w:left="51" w:right="380" w:firstLine="480" w:firstLineChars="200"/>
        <w:textAlignment w:val="auto"/>
        <w:rPr>
          <w:rFonts w:hint="eastAsia" w:ascii="仿宋" w:hAnsi="仿宋" w:eastAsia="仿宋" w:cs="仿宋"/>
          <w:sz w:val="28"/>
          <w:szCs w:val="28"/>
          <w:lang w:val="en-US" w:eastAsia="zh-CN"/>
        </w:rPr>
      </w:pPr>
      <w:r>
        <w:rPr>
          <w:sz w:val="24"/>
          <w:szCs w:val="32"/>
        </w:rPr>
        <w:drawing>
          <wp:anchor distT="0" distB="0" distL="114300" distR="114300" simplePos="0" relativeHeight="251662336" behindDoc="0" locked="0" layoutInCell="1" allowOverlap="1">
            <wp:simplePos x="0" y="0"/>
            <wp:positionH relativeFrom="column">
              <wp:posOffset>248285</wp:posOffset>
            </wp:positionH>
            <wp:positionV relativeFrom="paragraph">
              <wp:posOffset>165735</wp:posOffset>
            </wp:positionV>
            <wp:extent cx="800100" cy="2978150"/>
            <wp:effectExtent l="0" t="0" r="0" b="12700"/>
            <wp:wrapSquare wrapText="bothSides"/>
            <wp:docPr id="33" name="图片 3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图片1"/>
                    <pic:cNvPicPr>
                      <a:picLocks noChangeAspect="1"/>
                    </pic:cNvPicPr>
                  </pic:nvPicPr>
                  <pic:blipFill>
                    <a:blip r:embed="rId7"/>
                    <a:stretch>
                      <a:fillRect/>
                    </a:stretch>
                  </pic:blipFill>
                  <pic:spPr>
                    <a:xfrm>
                      <a:off x="0" y="0"/>
                      <a:ext cx="800100" cy="2978150"/>
                    </a:xfrm>
                    <a:prstGeom prst="rect">
                      <a:avLst/>
                    </a:prstGeom>
                  </pic:spPr>
                </pic:pic>
              </a:graphicData>
            </a:graphic>
          </wp:anchor>
        </w:drawing>
      </w:r>
    </w:p>
    <w:p>
      <w:pPr>
        <w:spacing w:before="20" w:line="235" w:lineRule="auto"/>
        <w:rPr>
          <w:rFonts w:ascii="仿宋" w:hAnsi="仿宋" w:eastAsia="仿宋" w:cs="仿宋"/>
          <w:sz w:val="22"/>
          <w:szCs w:val="22"/>
        </w:rPr>
      </w:pPr>
      <w:r>
        <w:rPr>
          <w:rFonts w:ascii="仿宋" w:hAnsi="仿宋" w:eastAsia="仿宋" w:cs="仿宋"/>
          <w:spacing w:val="8"/>
          <w:sz w:val="22"/>
          <w:szCs w:val="22"/>
        </w:rPr>
        <w:t>《澳门特别行政区出入境管控、逗留及居留许可的法律</w:t>
      </w:r>
      <w:r>
        <w:rPr>
          <w:rFonts w:ascii="仿宋" w:hAnsi="仿宋" w:eastAsia="仿宋" w:cs="仿宋"/>
          <w:spacing w:val="7"/>
          <w:sz w:val="22"/>
          <w:szCs w:val="22"/>
        </w:rPr>
        <w:t>制度》</w:t>
      </w:r>
    </w:p>
    <w:p>
      <w:pPr>
        <w:spacing w:before="234" w:line="236" w:lineRule="auto"/>
        <w:ind w:left="401"/>
        <w:rPr>
          <w:rFonts w:ascii="仿宋" w:hAnsi="仿宋" w:eastAsia="仿宋" w:cs="仿宋"/>
          <w:spacing w:val="7"/>
          <w:sz w:val="22"/>
          <w:szCs w:val="22"/>
        </w:rPr>
      </w:pPr>
    </w:p>
    <w:p>
      <w:pPr>
        <w:spacing w:before="234" w:line="236" w:lineRule="auto"/>
        <w:ind w:left="401"/>
        <w:rPr>
          <w:rFonts w:ascii="仿宋" w:hAnsi="仿宋" w:eastAsia="仿宋" w:cs="仿宋"/>
          <w:sz w:val="22"/>
          <w:szCs w:val="22"/>
        </w:rPr>
      </w:pPr>
      <w:r>
        <w:rPr>
          <w:rFonts w:ascii="仿宋" w:hAnsi="仿宋" w:eastAsia="仿宋" w:cs="仿宋"/>
          <w:spacing w:val="7"/>
          <w:sz w:val="22"/>
          <w:szCs w:val="22"/>
        </w:rPr>
        <w:t>《聘用外地雇员法》</w:t>
      </w:r>
    </w:p>
    <w:p>
      <w:pPr>
        <w:spacing w:before="253" w:line="234" w:lineRule="auto"/>
        <w:ind w:left="401"/>
        <w:rPr>
          <w:rFonts w:ascii="仿宋" w:hAnsi="仿宋" w:eastAsia="仿宋" w:cs="仿宋"/>
          <w:spacing w:val="7"/>
          <w:sz w:val="22"/>
          <w:szCs w:val="22"/>
        </w:rPr>
      </w:pPr>
    </w:p>
    <w:p>
      <w:pPr>
        <w:spacing w:before="253" w:line="234" w:lineRule="auto"/>
        <w:ind w:left="401"/>
        <w:rPr>
          <w:rFonts w:ascii="仿宋" w:hAnsi="仿宋" w:eastAsia="仿宋" w:cs="仿宋"/>
          <w:sz w:val="22"/>
          <w:szCs w:val="22"/>
        </w:rPr>
      </w:pPr>
      <w:r>
        <w:rPr>
          <w:rFonts w:ascii="仿宋" w:hAnsi="仿宋" w:eastAsia="仿宋" w:cs="仿宋"/>
          <w:spacing w:val="7"/>
          <w:sz w:val="22"/>
          <w:szCs w:val="22"/>
        </w:rPr>
        <w:t>《禁止非法工作规章》</w:t>
      </w:r>
    </w:p>
    <w:p>
      <w:pPr>
        <w:spacing w:before="248" w:line="203" w:lineRule="auto"/>
        <w:ind w:left="459"/>
        <w:rPr>
          <w:rFonts w:ascii="仿宋" w:hAnsi="仿宋" w:eastAsia="仿宋" w:cs="仿宋"/>
          <w:spacing w:val="6"/>
          <w:sz w:val="22"/>
          <w:szCs w:val="22"/>
        </w:rPr>
      </w:pPr>
    </w:p>
    <w:p>
      <w:pPr>
        <w:spacing w:before="248" w:line="203" w:lineRule="auto"/>
        <w:ind w:left="459"/>
        <w:rPr>
          <w:rFonts w:ascii="仿宋" w:hAnsi="仿宋" w:eastAsia="仿宋" w:cs="仿宋"/>
          <w:sz w:val="22"/>
          <w:szCs w:val="22"/>
        </w:rPr>
      </w:pPr>
      <w:r>
        <w:rPr>
          <w:rFonts w:ascii="仿宋" w:hAnsi="仿宋" w:eastAsia="仿宋" w:cs="仿宋"/>
          <w:spacing w:val="6"/>
          <w:sz w:val="22"/>
          <w:szCs w:val="22"/>
        </w:rPr>
        <w:t>关注澳门治安警察局官方微信号，了解更多出</w:t>
      </w:r>
      <w:r>
        <w:rPr>
          <w:rFonts w:ascii="仿宋" w:hAnsi="仿宋" w:eastAsia="仿宋" w:cs="仿宋"/>
          <w:spacing w:val="5"/>
          <w:sz w:val="22"/>
          <w:szCs w:val="22"/>
        </w:rPr>
        <w:t>入境资讯</w:t>
      </w:r>
    </w:p>
    <w:p>
      <w:pPr>
        <w:spacing w:before="20" w:line="211" w:lineRule="auto"/>
        <w:ind w:left="51"/>
        <w:rPr>
          <w:rFonts w:hint="default"/>
          <w:lang w:val="en-US" w:eastAsia="zh-CN"/>
        </w:rPr>
      </w:pPr>
      <w:r>
        <w:drawing>
          <wp:anchor distT="0" distB="0" distL="0" distR="0" simplePos="0" relativeHeight="251661312" behindDoc="0" locked="0" layoutInCell="0" allowOverlap="1">
            <wp:simplePos x="0" y="0"/>
            <wp:positionH relativeFrom="page">
              <wp:posOffset>570230</wp:posOffset>
            </wp:positionH>
            <wp:positionV relativeFrom="page">
              <wp:posOffset>18704560</wp:posOffset>
            </wp:positionV>
            <wp:extent cx="219710" cy="841375"/>
            <wp:effectExtent l="0" t="0" r="8890" b="15875"/>
            <wp:wrapNone/>
            <wp:docPr id="32" name="IM 1"/>
            <wp:cNvGraphicFramePr/>
            <a:graphic xmlns:a="http://schemas.openxmlformats.org/drawingml/2006/main">
              <a:graphicData uri="http://schemas.openxmlformats.org/drawingml/2006/picture">
                <pic:pic xmlns:pic="http://schemas.openxmlformats.org/drawingml/2006/picture">
                  <pic:nvPicPr>
                    <pic:cNvPr id="32" name="IM 1"/>
                    <pic:cNvPicPr/>
                  </pic:nvPicPr>
                  <pic:blipFill>
                    <a:blip r:embed="rId7"/>
                    <a:stretch>
                      <a:fillRect/>
                    </a:stretch>
                  </pic:blipFill>
                  <pic:spPr>
                    <a:xfrm>
                      <a:off x="0" y="0"/>
                      <a:ext cx="219710" cy="841375"/>
                    </a:xfrm>
                    <a:prstGeom prst="rect">
                      <a:avLst/>
                    </a:prstGeom>
                  </pic:spPr>
                </pic:pic>
              </a:graphicData>
            </a:graphic>
          </wp:anchor>
        </w:drawing>
      </w:r>
      <w:r>
        <w:drawing>
          <wp:anchor distT="0" distB="0" distL="0" distR="0" simplePos="0" relativeHeight="251660288" behindDoc="0" locked="0" layoutInCell="0" allowOverlap="1">
            <wp:simplePos x="0" y="0"/>
            <wp:positionH relativeFrom="page">
              <wp:posOffset>417830</wp:posOffset>
            </wp:positionH>
            <wp:positionV relativeFrom="page">
              <wp:posOffset>18552160</wp:posOffset>
            </wp:positionV>
            <wp:extent cx="219710" cy="841375"/>
            <wp:effectExtent l="0" t="0" r="8890" b="15875"/>
            <wp:wrapNone/>
            <wp:docPr id="31" name="IM 1"/>
            <wp:cNvGraphicFramePr/>
            <a:graphic xmlns:a="http://schemas.openxmlformats.org/drawingml/2006/main">
              <a:graphicData uri="http://schemas.openxmlformats.org/drawingml/2006/picture">
                <pic:pic xmlns:pic="http://schemas.openxmlformats.org/drawingml/2006/picture">
                  <pic:nvPicPr>
                    <pic:cNvPr id="31" name="IM 1"/>
                    <pic:cNvPicPr/>
                  </pic:nvPicPr>
                  <pic:blipFill>
                    <a:blip r:embed="rId7"/>
                    <a:stretch>
                      <a:fillRect/>
                    </a:stretch>
                  </pic:blipFill>
                  <pic:spPr>
                    <a:xfrm>
                      <a:off x="0" y="0"/>
                      <a:ext cx="219710" cy="841375"/>
                    </a:xfrm>
                    <a:prstGeom prst="rect">
                      <a:avLst/>
                    </a:prstGeom>
                  </pic:spPr>
                </pic:pic>
              </a:graphicData>
            </a:graphic>
          </wp:anchor>
        </w:drawing>
      </w:r>
      <w:r>
        <w:drawing>
          <wp:anchor distT="0" distB="0" distL="0" distR="0" simplePos="0" relativeHeight="251659264" behindDoc="0" locked="0" layoutInCell="0" allowOverlap="1">
            <wp:simplePos x="0" y="0"/>
            <wp:positionH relativeFrom="page">
              <wp:posOffset>265430</wp:posOffset>
            </wp:positionH>
            <wp:positionV relativeFrom="page">
              <wp:posOffset>18399760</wp:posOffset>
            </wp:positionV>
            <wp:extent cx="219710" cy="841375"/>
            <wp:effectExtent l="0" t="0" r="8890" b="15875"/>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219710" cy="84137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iYjFjZDI5MWUxN2MxNzkwNzdlNDliZTA2MWEwMjMifQ=="/>
  </w:docVars>
  <w:rsids>
    <w:rsidRoot w:val="00000000"/>
    <w:rsid w:val="02D05D2F"/>
    <w:rsid w:val="07D71DC7"/>
    <w:rsid w:val="0C160487"/>
    <w:rsid w:val="0D2C5A88"/>
    <w:rsid w:val="24853FA4"/>
    <w:rsid w:val="2DDC4A02"/>
    <w:rsid w:val="380B2E47"/>
    <w:rsid w:val="4A283793"/>
    <w:rsid w:val="4C1E25CB"/>
    <w:rsid w:val="4FF407CF"/>
    <w:rsid w:val="523C17D0"/>
    <w:rsid w:val="62767339"/>
    <w:rsid w:val="62F835B8"/>
    <w:rsid w:val="6672040E"/>
    <w:rsid w:val="69C935B8"/>
    <w:rsid w:val="73B46828"/>
    <w:rsid w:val="7C6D652D"/>
    <w:rsid w:val="7EDE1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15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qFormat/>
    <w:uiPriority w:val="0"/>
    <w:rPr>
      <w:color w:val="666666"/>
      <w:u w:val="none"/>
    </w:rPr>
  </w:style>
  <w:style w:type="character" w:styleId="7">
    <w:name w:val="HTML Definition"/>
    <w:basedOn w:val="4"/>
    <w:qFormat/>
    <w:uiPriority w:val="0"/>
    <w:rPr>
      <w:i/>
      <w:iCs/>
    </w:rPr>
  </w:style>
  <w:style w:type="character" w:styleId="8">
    <w:name w:val="Hyperlink"/>
    <w:basedOn w:val="4"/>
    <w:qFormat/>
    <w:uiPriority w:val="0"/>
    <w:rPr>
      <w:color w:val="666666"/>
      <w:u w:val="none"/>
    </w:rPr>
  </w:style>
  <w:style w:type="character" w:styleId="9">
    <w:name w:val="HTML Code"/>
    <w:basedOn w:val="4"/>
    <w:qFormat/>
    <w:uiPriority w:val="0"/>
    <w:rPr>
      <w:rFonts w:hint="default" w:ascii="Consolas" w:hAnsi="Consolas" w:eastAsia="Consolas" w:cs="Consolas"/>
      <w:color w:val="C7254E"/>
      <w:sz w:val="21"/>
      <w:szCs w:val="21"/>
      <w:shd w:val="clear" w:fill="F9F2F4"/>
    </w:rPr>
  </w:style>
  <w:style w:type="character" w:styleId="10">
    <w:name w:val="HTML Keyboard"/>
    <w:basedOn w:val="4"/>
    <w:qFormat/>
    <w:uiPriority w:val="0"/>
    <w:rPr>
      <w:rFonts w:ascii="Consolas" w:hAnsi="Consolas" w:eastAsia="Consolas" w:cs="Consolas"/>
      <w:color w:val="FFFFFF"/>
      <w:sz w:val="21"/>
      <w:szCs w:val="21"/>
      <w:shd w:val="clear" w:fill="333333"/>
    </w:rPr>
  </w:style>
  <w:style w:type="character" w:styleId="11">
    <w:name w:val="HTML Sample"/>
    <w:basedOn w:val="4"/>
    <w:qFormat/>
    <w:uiPriority w:val="0"/>
    <w:rPr>
      <w:rFonts w:hint="default" w:ascii="Consolas" w:hAnsi="Consolas" w:eastAsia="Consolas" w:cs="Consolas"/>
      <w:sz w:val="21"/>
      <w:szCs w:val="21"/>
    </w:rPr>
  </w:style>
  <w:style w:type="character" w:customStyle="1" w:styleId="12">
    <w:name w:val="glyphicon"/>
    <w:basedOn w:val="4"/>
    <w:qFormat/>
    <w:uiPriority w:val="0"/>
  </w:style>
  <w:style w:type="character" w:customStyle="1" w:styleId="13">
    <w:name w:val="samerow-label"/>
    <w:basedOn w:val="4"/>
    <w:qFormat/>
    <w:uiPriority w:val="0"/>
    <w:rPr>
      <w:sz w:val="21"/>
      <w:szCs w:val="21"/>
    </w:rPr>
  </w:style>
  <w:style w:type="character" w:customStyle="1" w:styleId="14">
    <w:name w:val="layui-layer-tabnow"/>
    <w:basedOn w:val="4"/>
    <w:qFormat/>
    <w:uiPriority w:val="0"/>
    <w:rPr>
      <w:bdr w:val="single" w:color="CCCCCC" w:sz="6" w:space="0"/>
      <w:shd w:val="clear" w:fill="FFFFFF"/>
    </w:rPr>
  </w:style>
  <w:style w:type="character" w:customStyle="1" w:styleId="15">
    <w:name w:val="first-child"/>
    <w:basedOn w:val="4"/>
    <w:qFormat/>
    <w:uiPriority w:val="0"/>
  </w:style>
  <w:style w:type="character" w:customStyle="1" w:styleId="16">
    <w:name w:val="first-child1"/>
    <w:basedOn w:val="4"/>
    <w:qFormat/>
    <w:uiPriority w:val="0"/>
    <w:rPr>
      <w:sz w:val="30"/>
      <w:szCs w:val="30"/>
    </w:rPr>
  </w:style>
  <w:style w:type="character" w:customStyle="1" w:styleId="17">
    <w:name w:val="first-child2"/>
    <w:basedOn w:val="4"/>
    <w:qFormat/>
    <w:uiPriority w:val="0"/>
  </w:style>
  <w:style w:type="character" w:customStyle="1" w:styleId="18">
    <w:name w:val="first-child3"/>
    <w:basedOn w:val="4"/>
    <w:qFormat/>
    <w:uiPriority w:val="0"/>
    <w:rPr>
      <w:color w:val="222222"/>
      <w:sz w:val="27"/>
      <w:szCs w:val="27"/>
    </w:rPr>
  </w:style>
  <w:style w:type="character" w:customStyle="1" w:styleId="19">
    <w:name w:val="first-child4"/>
    <w:basedOn w:val="4"/>
    <w:qFormat/>
    <w:uiPriority w:val="0"/>
    <w:rPr>
      <w:sz w:val="24"/>
      <w:szCs w:val="24"/>
    </w:rPr>
  </w:style>
  <w:style w:type="character" w:customStyle="1" w:styleId="20">
    <w:name w:val="first-child5"/>
    <w:basedOn w:val="4"/>
    <w:qFormat/>
    <w:uiPriority w:val="0"/>
    <w:rPr>
      <w:color w:val="133F8A"/>
    </w:rPr>
  </w:style>
  <w:style w:type="character" w:customStyle="1" w:styleId="21">
    <w:name w:val="first-child6"/>
    <w:basedOn w:val="4"/>
    <w:qFormat/>
    <w:uiPriority w:val="0"/>
    <w:rPr>
      <w:color w:val="4E89C3"/>
    </w:rPr>
  </w:style>
  <w:style w:type="character" w:customStyle="1" w:styleId="22">
    <w:name w:val="first-child7"/>
    <w:basedOn w:val="4"/>
    <w:qFormat/>
    <w:uiPriority w:val="0"/>
    <w:rPr>
      <w:color w:val="999999"/>
      <w:sz w:val="18"/>
      <w:szCs w:val="18"/>
    </w:rPr>
  </w:style>
  <w:style w:type="character" w:customStyle="1" w:styleId="23">
    <w:name w:val="first-child8"/>
    <w:basedOn w:val="4"/>
    <w:qFormat/>
    <w:uiPriority w:val="0"/>
    <w:rPr>
      <w:color w:val="4E89C3"/>
      <w:sz w:val="21"/>
      <w:szCs w:val="21"/>
    </w:rPr>
  </w:style>
  <w:style w:type="character" w:customStyle="1" w:styleId="24">
    <w:name w:val="first-child9"/>
    <w:basedOn w:val="4"/>
    <w:qFormat/>
    <w:uiPriority w:val="0"/>
    <w:rPr>
      <w:b/>
      <w:bCs/>
    </w:rPr>
  </w:style>
  <w:style w:type="character" w:customStyle="1" w:styleId="25">
    <w:name w:val="first-child10"/>
    <w:basedOn w:val="4"/>
    <w:qFormat/>
    <w:uiPriority w:val="0"/>
  </w:style>
  <w:style w:type="character" w:customStyle="1" w:styleId="26">
    <w:name w:val="first-child11"/>
    <w:basedOn w:val="4"/>
    <w:qFormat/>
    <w:uiPriority w:val="0"/>
    <w:rPr>
      <w:bdr w:val="single" w:color="auto" w:sz="6" w:space="0"/>
    </w:rPr>
  </w:style>
  <w:style w:type="character" w:customStyle="1" w:styleId="27">
    <w:name w:val="nation"/>
    <w:basedOn w:val="4"/>
    <w:qFormat/>
    <w:uiPriority w:val="0"/>
  </w:style>
  <w:style w:type="character" w:customStyle="1" w:styleId="28">
    <w:name w:val="layui-this6"/>
    <w:basedOn w:val="4"/>
    <w:qFormat/>
    <w:uiPriority w:val="0"/>
    <w:rPr>
      <w:bdr w:val="single" w:color="EEEEEE" w:sz="6" w:space="0"/>
      <w:shd w:val="clear" w:fill="FFFFFF"/>
    </w:rPr>
  </w:style>
  <w:style w:type="character" w:customStyle="1" w:styleId="29">
    <w:name w:val="price"/>
    <w:basedOn w:val="4"/>
    <w:qFormat/>
    <w:uiPriority w:val="0"/>
    <w:rPr>
      <w:color w:val="74A2D0"/>
    </w:rPr>
  </w:style>
  <w:style w:type="character" w:customStyle="1" w:styleId="30">
    <w:name w:val="shadow"/>
    <w:basedOn w:val="4"/>
    <w:qFormat/>
    <w:uiPriority w:val="0"/>
    <w:rPr>
      <w:bdr w:val="single" w:color="EFEFEE" w:sz="6" w:space="0"/>
    </w:rPr>
  </w:style>
  <w:style w:type="character" w:customStyle="1" w:styleId="31">
    <w:name w:val="last-child7"/>
    <w:basedOn w:val="4"/>
    <w:qFormat/>
    <w:uiPriority w:val="0"/>
  </w:style>
  <w:style w:type="character" w:customStyle="1" w:styleId="32">
    <w:name w:val="last-child8"/>
    <w:basedOn w:val="4"/>
    <w:qFormat/>
    <w:uiPriority w:val="0"/>
  </w:style>
  <w:style w:type="character" w:customStyle="1" w:styleId="33">
    <w:name w:val="last-child9"/>
    <w:basedOn w:val="4"/>
    <w:qFormat/>
    <w:uiPriority w:val="0"/>
    <w:rPr>
      <w:sz w:val="19"/>
      <w:szCs w:val="19"/>
    </w:rPr>
  </w:style>
  <w:style w:type="character" w:customStyle="1" w:styleId="34">
    <w:name w:val="last-child10"/>
    <w:basedOn w:val="4"/>
    <w:qFormat/>
    <w:uiPriority w:val="0"/>
    <w:rPr>
      <w:color w:val="666666"/>
      <w:sz w:val="21"/>
      <w:szCs w:val="21"/>
    </w:rPr>
  </w:style>
  <w:style w:type="character" w:customStyle="1" w:styleId="35">
    <w:name w:val="last-child11"/>
    <w:basedOn w:val="4"/>
    <w:qFormat/>
    <w:uiPriority w:val="0"/>
    <w:rPr>
      <w:color w:val="666666"/>
      <w:sz w:val="21"/>
      <w:szCs w:val="21"/>
    </w:rPr>
  </w:style>
  <w:style w:type="character" w:customStyle="1" w:styleId="36">
    <w:name w:val="last-child12"/>
    <w:basedOn w:val="4"/>
    <w:qFormat/>
    <w:uiPriority w:val="0"/>
    <w:rPr>
      <w:color w:val="4E89C3"/>
    </w:rPr>
  </w:style>
  <w:style w:type="character" w:customStyle="1" w:styleId="37">
    <w:name w:val="last-child13"/>
    <w:basedOn w:val="4"/>
    <w:qFormat/>
    <w:uiPriority w:val="0"/>
    <w:rPr>
      <w:color w:val="666666"/>
      <w:sz w:val="18"/>
      <w:szCs w:val="18"/>
    </w:rPr>
  </w:style>
  <w:style w:type="character" w:customStyle="1" w:styleId="38">
    <w:name w:val="last-child14"/>
    <w:basedOn w:val="4"/>
    <w:qFormat/>
    <w:uiPriority w:val="0"/>
    <w:rPr>
      <w:color w:val="666666"/>
      <w:sz w:val="21"/>
      <w:szCs w:val="21"/>
    </w:rPr>
  </w:style>
  <w:style w:type="character" w:customStyle="1" w:styleId="39">
    <w:name w:val="last-child15"/>
    <w:basedOn w:val="4"/>
    <w:qFormat/>
    <w:uiPriority w:val="0"/>
    <w:rPr>
      <w:b/>
      <w:bCs/>
    </w:rPr>
  </w:style>
  <w:style w:type="character" w:customStyle="1" w:styleId="40">
    <w:name w:val="last-child16"/>
    <w:basedOn w:val="4"/>
    <w:qFormat/>
    <w:uiPriority w:val="0"/>
  </w:style>
  <w:style w:type="character" w:customStyle="1" w:styleId="41">
    <w:name w:val="last-child17"/>
    <w:basedOn w:val="4"/>
    <w:qFormat/>
    <w:uiPriority w:val="0"/>
  </w:style>
  <w:style w:type="character" w:customStyle="1" w:styleId="42">
    <w:name w:val="name46"/>
    <w:basedOn w:val="4"/>
    <w:qFormat/>
    <w:uiPriority w:val="0"/>
  </w:style>
  <w:style w:type="character" w:customStyle="1" w:styleId="43">
    <w:name w:val="name47"/>
    <w:basedOn w:val="4"/>
    <w:qFormat/>
    <w:uiPriority w:val="0"/>
  </w:style>
  <w:style w:type="character" w:customStyle="1" w:styleId="44">
    <w:name w:val="name48"/>
    <w:basedOn w:val="4"/>
    <w:qFormat/>
    <w:uiPriority w:val="0"/>
  </w:style>
  <w:style w:type="character" w:customStyle="1" w:styleId="45">
    <w:name w:val="icon31"/>
    <w:basedOn w:val="4"/>
    <w:qFormat/>
    <w:uiPriority w:val="0"/>
  </w:style>
  <w:style w:type="character" w:customStyle="1" w:styleId="46">
    <w:name w:val="icon32"/>
    <w:basedOn w:val="4"/>
    <w:qFormat/>
    <w:uiPriority w:val="0"/>
  </w:style>
  <w:style w:type="character" w:customStyle="1" w:styleId="47">
    <w:name w:val="num2"/>
    <w:basedOn w:val="4"/>
    <w:qFormat/>
    <w:uiPriority w:val="0"/>
  </w:style>
  <w:style w:type="character" w:customStyle="1" w:styleId="48">
    <w:name w:val="nth-child(2)"/>
    <w:basedOn w:val="4"/>
    <w:qFormat/>
    <w:uiPriority w:val="0"/>
  </w:style>
  <w:style w:type="character" w:customStyle="1" w:styleId="49">
    <w:name w:val="hover39"/>
    <w:basedOn w:val="4"/>
    <w:qFormat/>
    <w:uiPriority w:val="0"/>
    <w:rPr>
      <w:color w:val="4E89C3"/>
    </w:rPr>
  </w:style>
  <w:style w:type="character" w:customStyle="1" w:styleId="50">
    <w:name w:val="hover40"/>
    <w:basedOn w:val="4"/>
    <w:qFormat/>
    <w:uiPriority w:val="0"/>
    <w:rPr>
      <w:shd w:val="clear" w:fill="F5F5F5"/>
    </w:rPr>
  </w:style>
  <w:style w:type="character" w:customStyle="1" w:styleId="51">
    <w:name w:val="hover41"/>
    <w:basedOn w:val="4"/>
    <w:qFormat/>
    <w:uiPriority w:val="0"/>
    <w:rPr>
      <w:color w:val="4E89C3"/>
    </w:rPr>
  </w:style>
  <w:style w:type="character" w:customStyle="1" w:styleId="52">
    <w:name w:val="hover42"/>
    <w:basedOn w:val="4"/>
    <w:qFormat/>
    <w:uiPriority w:val="0"/>
    <w:rPr>
      <w:color w:val="666666"/>
    </w:rPr>
  </w:style>
  <w:style w:type="character" w:customStyle="1" w:styleId="53">
    <w:name w:val="hover43"/>
    <w:basedOn w:val="4"/>
    <w:qFormat/>
    <w:uiPriority w:val="0"/>
    <w:rPr>
      <w:color w:val="4E89C3"/>
    </w:rPr>
  </w:style>
  <w:style w:type="character" w:customStyle="1" w:styleId="54">
    <w:name w:val="hover44"/>
    <w:basedOn w:val="4"/>
    <w:qFormat/>
    <w:uiPriority w:val="0"/>
    <w:rPr>
      <w:color w:val="5FB878"/>
    </w:rPr>
  </w:style>
  <w:style w:type="character" w:customStyle="1" w:styleId="55">
    <w:name w:val="hover45"/>
    <w:basedOn w:val="4"/>
    <w:qFormat/>
    <w:uiPriority w:val="0"/>
    <w:rPr>
      <w:color w:val="5FB878"/>
    </w:rPr>
  </w:style>
  <w:style w:type="character" w:customStyle="1" w:styleId="56">
    <w:name w:val="hover46"/>
    <w:basedOn w:val="4"/>
    <w:qFormat/>
    <w:uiPriority w:val="0"/>
    <w:rPr>
      <w:color w:val="FFFFFF"/>
    </w:rPr>
  </w:style>
  <w:style w:type="character" w:customStyle="1" w:styleId="57">
    <w:name w:val="info-list-unit1"/>
    <w:basedOn w:val="4"/>
    <w:qFormat/>
    <w:uiPriority w:val="0"/>
    <w:rPr>
      <w:color w:val="999999"/>
    </w:rPr>
  </w:style>
  <w:style w:type="character" w:customStyle="1" w:styleId="58">
    <w:name w:val="waitapprove"/>
    <w:basedOn w:val="4"/>
    <w:qFormat/>
    <w:uiPriority w:val="0"/>
    <w:rPr>
      <w:shd w:val="clear" w:fill="0091DC"/>
    </w:rPr>
  </w:style>
  <w:style w:type="character" w:customStyle="1" w:styleId="59">
    <w:name w:val="info-list-top"/>
    <w:basedOn w:val="4"/>
    <w:qFormat/>
    <w:uiPriority w:val="0"/>
    <w:rPr>
      <w:color w:val="FFFFFF"/>
      <w:sz w:val="18"/>
      <w:szCs w:val="18"/>
    </w:rPr>
  </w:style>
  <w:style w:type="character" w:customStyle="1" w:styleId="60">
    <w:name w:val="fa[class^=&quot;ii_&quot;]"/>
    <w:basedOn w:val="4"/>
    <w:qFormat/>
    <w:uiPriority w:val="0"/>
  </w:style>
  <w:style w:type="character" w:customStyle="1" w:styleId="61">
    <w:name w:val="checked6"/>
    <w:basedOn w:val="4"/>
    <w:qFormat/>
    <w:uiPriority w:val="0"/>
    <w:rPr>
      <w:color w:val="4E89C3"/>
    </w:rPr>
  </w:style>
  <w:style w:type="character" w:customStyle="1" w:styleId="62">
    <w:name w:val="text18"/>
    <w:basedOn w:val="4"/>
    <w:qFormat/>
    <w:uiPriority w:val="0"/>
    <w:rPr>
      <w:color w:val="A2DF70"/>
      <w:sz w:val="21"/>
      <w:szCs w:val="21"/>
    </w:rPr>
  </w:style>
  <w:style w:type="character" w:customStyle="1" w:styleId="63">
    <w:name w:val="fa48"/>
    <w:basedOn w:val="4"/>
    <w:qFormat/>
    <w:uiPriority w:val="0"/>
  </w:style>
  <w:style w:type="character" w:customStyle="1" w:styleId="64">
    <w:name w:val="fa49"/>
    <w:basedOn w:val="4"/>
    <w:qFormat/>
    <w:uiPriority w:val="0"/>
  </w:style>
  <w:style w:type="character" w:customStyle="1" w:styleId="65">
    <w:name w:val="laypage_curr"/>
    <w:basedOn w:val="4"/>
    <w:qFormat/>
    <w:uiPriority w:val="0"/>
    <w:rPr>
      <w:shd w:val="clear" w:fill="4E89C3"/>
    </w:rPr>
  </w:style>
  <w:style w:type="character" w:customStyle="1" w:styleId="66">
    <w:name w:val="old"/>
    <w:basedOn w:val="4"/>
    <w:qFormat/>
    <w:uiPriority w:val="0"/>
    <w:rPr>
      <w:color w:val="999999"/>
    </w:rPr>
  </w:style>
  <w:style w:type="character" w:customStyle="1" w:styleId="67">
    <w:name w:val="active29"/>
    <w:basedOn w:val="4"/>
    <w:qFormat/>
    <w:uiPriority w:val="0"/>
    <w:rPr>
      <w:color w:val="FFFFFF"/>
      <w:shd w:val="clear" w:fill="4E89C3"/>
    </w:rPr>
  </w:style>
  <w:style w:type="character" w:customStyle="1" w:styleId="68">
    <w:name w:val="bar3"/>
    <w:basedOn w:val="4"/>
    <w:qFormat/>
    <w:uiPriority w:val="0"/>
  </w:style>
  <w:style w:type="character" w:customStyle="1" w:styleId="69">
    <w:name w:val="bar4"/>
    <w:basedOn w:val="4"/>
    <w:qFormat/>
    <w:uiPriority w:val="0"/>
  </w:style>
  <w:style w:type="character" w:customStyle="1" w:styleId="70">
    <w:name w:val="fa[class^=&quot;in_&quot;]"/>
    <w:basedOn w:val="4"/>
    <w:qFormat/>
    <w:uiPriority w:val="0"/>
  </w:style>
  <w:style w:type="character" w:customStyle="1" w:styleId="71">
    <w:name w:val="nth-child(2n)"/>
    <w:basedOn w:val="4"/>
    <w:qFormat/>
    <w:uiPriority w:val="0"/>
    <w:rPr>
      <w:vanish/>
    </w:rPr>
  </w:style>
  <w:style w:type="character" w:customStyle="1" w:styleId="72">
    <w:name w:val="message-data"/>
    <w:basedOn w:val="4"/>
    <w:qFormat/>
    <w:uiPriority w:val="0"/>
    <w:rPr>
      <w:sz w:val="18"/>
      <w:szCs w:val="18"/>
    </w:rPr>
  </w:style>
  <w:style w:type="character" w:customStyle="1" w:styleId="73">
    <w:name w:val="after3"/>
    <w:basedOn w:val="4"/>
    <w:qFormat/>
    <w:uiPriority w:val="0"/>
    <w:rPr>
      <w:shd w:val="clear" w:fill="FFFFFF"/>
    </w:rPr>
  </w:style>
  <w:style w:type="character" w:customStyle="1" w:styleId="74">
    <w:name w:val="owl-numbers"/>
    <w:basedOn w:val="4"/>
    <w:qFormat/>
    <w:uiPriority w:val="0"/>
    <w:rPr>
      <w:color w:val="FFFFFF"/>
    </w:rPr>
  </w:style>
  <w:style w:type="character" w:customStyle="1" w:styleId="75">
    <w:name w:val="overtime"/>
    <w:basedOn w:val="4"/>
    <w:qFormat/>
    <w:uiPriority w:val="0"/>
    <w:rPr>
      <w:shd w:val="clear" w:fill="999999"/>
    </w:rPr>
  </w:style>
  <w:style w:type="character" w:customStyle="1" w:styleId="76">
    <w:name w:val="failed"/>
    <w:basedOn w:val="4"/>
    <w:qFormat/>
    <w:uiPriority w:val="0"/>
    <w:rPr>
      <w:shd w:val="clear" w:fill="840101"/>
    </w:rPr>
  </w:style>
  <w:style w:type="character" w:customStyle="1" w:styleId="77">
    <w:name w:val="info-list-text1"/>
    <w:basedOn w:val="4"/>
    <w:qFormat/>
    <w:uiPriority w:val="0"/>
    <w:rPr>
      <w:color w:val="666666"/>
    </w:rPr>
  </w:style>
  <w:style w:type="character" w:customStyle="1" w:styleId="78">
    <w:name w:val="info-list-time1"/>
    <w:basedOn w:val="4"/>
    <w:qFormat/>
    <w:uiPriority w:val="0"/>
    <w:rPr>
      <w:color w:val="999999"/>
    </w:rPr>
  </w:style>
  <w:style w:type="character" w:customStyle="1" w:styleId="79">
    <w:name w:val="point-num4"/>
    <w:basedOn w:val="4"/>
    <w:qFormat/>
    <w:uiPriority w:val="0"/>
    <w:rPr>
      <w:sz w:val="27"/>
      <w:szCs w:val="27"/>
    </w:rPr>
  </w:style>
  <w:style w:type="character" w:customStyle="1" w:styleId="80">
    <w:name w:val="point-num5"/>
    <w:basedOn w:val="4"/>
    <w:qFormat/>
    <w:uiPriority w:val="0"/>
    <w:rPr>
      <w:sz w:val="24"/>
      <w:szCs w:val="24"/>
    </w:rPr>
  </w:style>
  <w:style w:type="table" w:customStyle="1" w:styleId="8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4040</Words>
  <Characters>4400</Characters>
  <Lines>0</Lines>
  <Paragraphs>0</Paragraphs>
  <TotalTime>85</TotalTime>
  <ScaleCrop>false</ScaleCrop>
  <LinksUpToDate>false</LinksUpToDate>
  <CharactersWithSpaces>4559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2023-09-18T06:37:00Z</dcterms:created>
  <dc:creator>Administrator</dc:creator>
  <cp:lastModifiedBy>Administrator</cp:lastModifiedBy>
  <dcterms:modified xsi:type="dcterms:W3CDTF">2023-09-19T07:22:29Z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AE846532165448CE8976323170CEB26A_13</vt:lpwstr>
  </property>
</Properties>
</file>